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hint="eastAsia" w:ascii="方正小标宋简体" w:hAnsi="方正小标宋简体" w:eastAsia="方正小标宋简体" w:cs="方正小标宋简体"/>
          <w:b w:val="0"/>
          <w:bCs w:val="0"/>
          <w:color w:val="000000"/>
          <w:sz w:val="44"/>
          <w:szCs w:val="44"/>
        </w:rPr>
      </w:pPr>
      <w:bookmarkStart w:id="0" w:name="zhengwen"/>
      <w:r>
        <w:rPr>
          <w:rFonts w:hint="eastAsia" w:ascii="方正小标宋简体" w:hAnsi="方正小标宋简体" w:eastAsia="方正小标宋简体" w:cs="方正小标宋简体"/>
          <w:b w:val="0"/>
          <w:bCs w:val="0"/>
          <w:color w:val="auto"/>
          <w:sz w:val="44"/>
          <w:szCs w:val="44"/>
          <w:lang w:eastAsia="zh-CN"/>
        </w:rPr>
        <w:t>宁波市海曙区</w:t>
      </w:r>
      <w:r>
        <w:rPr>
          <w:rFonts w:hint="eastAsia" w:ascii="方正小标宋简体" w:hAnsi="方正小标宋简体" w:eastAsia="方正小标宋简体" w:cs="方正小标宋简体"/>
          <w:b w:val="0"/>
          <w:bCs w:val="0"/>
          <w:color w:val="000000"/>
          <w:sz w:val="44"/>
          <w:szCs w:val="44"/>
        </w:rPr>
        <w:t>食用酵素食品生产许可</w:t>
      </w:r>
    </w:p>
    <w:p>
      <w:pPr>
        <w:spacing w:line="578" w:lineRule="exac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审查方案</w:t>
      </w:r>
    </w:p>
    <w:p>
      <w:pPr>
        <w:spacing w:line="578" w:lineRule="exact"/>
        <w:jc w:val="center"/>
        <w:rPr>
          <w:rFonts w:hint="eastAsia" w:ascii="楷体_GB2312" w:hAnsi="楷体_GB2312" w:eastAsia="楷体_GB2312" w:cs="楷体_GB2312"/>
          <w:b w:val="0"/>
          <w:bCs w:val="0"/>
          <w:kern w:val="0"/>
          <w:sz w:val="32"/>
          <w:szCs w:val="32"/>
          <w:lang w:val="en-US" w:eastAsia="zh-CN"/>
        </w:rPr>
      </w:pPr>
      <w:r>
        <w:rPr>
          <w:rFonts w:hint="eastAsia" w:ascii="楷体_GB2312" w:hAnsi="楷体_GB2312" w:eastAsia="楷体_GB2312" w:cs="楷体_GB2312"/>
          <w:b w:val="0"/>
          <w:bCs w:val="0"/>
          <w:kern w:val="0"/>
          <w:sz w:val="32"/>
          <w:szCs w:val="32"/>
          <w:lang w:eastAsia="zh-CN"/>
        </w:rPr>
        <w:t>（</w:t>
      </w:r>
      <w:r>
        <w:rPr>
          <w:rFonts w:hint="eastAsia" w:ascii="楷体_GB2312" w:hAnsi="楷体_GB2312" w:eastAsia="楷体_GB2312" w:cs="楷体_GB2312"/>
          <w:b w:val="0"/>
          <w:bCs w:val="0"/>
          <w:kern w:val="0"/>
          <w:sz w:val="32"/>
          <w:szCs w:val="32"/>
          <w:lang w:val="en-US" w:eastAsia="zh-CN"/>
        </w:rPr>
        <w:t>征求意见稿）</w:t>
      </w:r>
    </w:p>
    <w:p>
      <w:pPr>
        <w:spacing w:line="578" w:lineRule="exact"/>
        <w:jc w:val="center"/>
        <w:rPr>
          <w:rFonts w:hint="eastAsia" w:ascii="黑体" w:hAnsi="黑体" w:eastAsia="黑体" w:cs="仿宋"/>
          <w:b w:val="0"/>
          <w:bCs w:val="0"/>
          <w:kern w:val="0"/>
          <w:sz w:val="32"/>
          <w:szCs w:val="32"/>
        </w:rPr>
      </w:pPr>
    </w:p>
    <w:p>
      <w:pPr>
        <w:spacing w:line="578" w:lineRule="exact"/>
        <w:jc w:val="center"/>
        <w:rPr>
          <w:rFonts w:ascii="黑体" w:hAnsi="黑体" w:eastAsia="黑体" w:cs="仿宋"/>
          <w:b w:val="0"/>
          <w:bCs w:val="0"/>
          <w:kern w:val="0"/>
          <w:sz w:val="32"/>
          <w:szCs w:val="32"/>
        </w:rPr>
      </w:pPr>
      <w:r>
        <w:rPr>
          <w:rFonts w:hint="eastAsia" w:ascii="黑体" w:hAnsi="黑体" w:eastAsia="黑体" w:cs="仿宋"/>
          <w:b w:val="0"/>
          <w:bCs w:val="0"/>
          <w:kern w:val="0"/>
          <w:sz w:val="32"/>
          <w:szCs w:val="32"/>
        </w:rPr>
        <w:t>第一章 总则</w:t>
      </w:r>
    </w:p>
    <w:p>
      <w:pPr>
        <w:keepNext w:val="0"/>
        <w:keepLines w:val="0"/>
        <w:pageBreakBefore w:val="0"/>
        <w:widowControl w:val="0"/>
        <w:kinsoku/>
        <w:wordWrap/>
        <w:overflowPunct/>
        <w:topLinePunct w:val="0"/>
        <w:autoSpaceDE/>
        <w:autoSpaceDN/>
        <w:bidi w:val="0"/>
        <w:adjustRightInd/>
        <w:snapToGrid/>
        <w:spacing w:before="313" w:beforeLines="100" w:line="578" w:lineRule="exact"/>
        <w:ind w:firstLine="643" w:firstLineChars="200"/>
        <w:textAlignment w:val="auto"/>
        <w:rPr>
          <w:rFonts w:ascii="仿宋" w:hAnsi="仿宋" w:eastAsia="仿宋" w:cs="仿宋"/>
          <w:b w:val="0"/>
          <w:bCs w:val="0"/>
          <w:sz w:val="32"/>
          <w:szCs w:val="32"/>
        </w:rPr>
      </w:pPr>
      <w:bookmarkStart w:id="1" w:name="_Toc416939932"/>
      <w:bookmarkStart w:id="2" w:name="_Toc415228645"/>
      <w:bookmarkStart w:id="3" w:name="_Toc416939933"/>
      <w:r>
        <w:rPr>
          <w:rFonts w:hint="eastAsia" w:ascii="仿宋" w:hAnsi="仿宋" w:eastAsia="仿宋" w:cs="仿宋"/>
          <w:b/>
          <w:bCs/>
          <w:color w:val="auto"/>
          <w:kern w:val="0"/>
          <w:sz w:val="32"/>
          <w:szCs w:val="32"/>
        </w:rPr>
        <w:t>第一条</w:t>
      </w:r>
      <w:r>
        <w:rPr>
          <w:rFonts w:hint="eastAsia" w:ascii="仿宋" w:hAnsi="仿宋" w:eastAsia="仿宋" w:cs="仿宋"/>
          <w:b w:val="0"/>
          <w:bCs w:val="0"/>
          <w:color w:val="auto"/>
          <w:kern w:val="0"/>
          <w:sz w:val="32"/>
          <w:szCs w:val="32"/>
        </w:rPr>
        <w:t xml:space="preserve"> </w:t>
      </w:r>
      <w:r>
        <w:rPr>
          <w:rFonts w:hint="eastAsia" w:ascii="仿宋" w:hAnsi="仿宋" w:eastAsia="仿宋" w:cs="仿宋"/>
          <w:b w:val="0"/>
          <w:bCs w:val="0"/>
          <w:color w:val="auto"/>
          <w:sz w:val="32"/>
          <w:szCs w:val="32"/>
        </w:rPr>
        <w:t>本方案适用于宁波市</w:t>
      </w:r>
      <w:r>
        <w:rPr>
          <w:rFonts w:hint="eastAsia" w:ascii="仿宋" w:hAnsi="仿宋" w:eastAsia="仿宋" w:cs="仿宋"/>
          <w:b w:val="0"/>
          <w:bCs w:val="0"/>
          <w:color w:val="auto"/>
          <w:sz w:val="32"/>
          <w:szCs w:val="32"/>
          <w:lang w:eastAsia="zh-CN"/>
        </w:rPr>
        <w:t>海曙区</w:t>
      </w:r>
      <w:r>
        <w:rPr>
          <w:rFonts w:hint="eastAsia" w:ascii="仿宋" w:hAnsi="仿宋" w:eastAsia="仿宋" w:cs="仿宋"/>
          <w:b w:val="0"/>
          <w:bCs w:val="0"/>
          <w:color w:val="auto"/>
          <w:sz w:val="32"/>
          <w:szCs w:val="32"/>
        </w:rPr>
        <w:t>内食用酵素食品生产许可条件审查。方案中所称食用酵素是指以</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可用于食品加工的</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动物、</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可用于食品加工的</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植物、食用菌等为原料，添加或不添加辅料，经微生物发酵制得的含有特定生物活性成分，可供人类食用的酵</w:t>
      </w:r>
      <w:r>
        <w:rPr>
          <w:rFonts w:hint="eastAsia" w:ascii="仿宋" w:hAnsi="仿宋" w:eastAsia="仿宋" w:cs="仿宋"/>
          <w:b w:val="0"/>
          <w:bCs w:val="0"/>
          <w:sz w:val="32"/>
          <w:szCs w:val="32"/>
        </w:rPr>
        <w:t>素产品。特定生物活性成分是指来自生物体内的或经发酵制得的对生命现象有影响的微量或少量物质，包括多糖类、寡糖类、多酚类、皂苷类、黄酮类、有机酸类、蛋白质及多肽类、氨基酸类、维生素类等。本方案不适用于无原料前处理、发酵等关键工序，仅有包装场地、工序、设备，没有合理的设备布局和工艺流程生产的产品。食用酵素的申证单元为1个，即其他食品[其他食品（食用酵素）]。</w:t>
      </w:r>
    </w:p>
    <w:p>
      <w:pPr>
        <w:autoSpaceDE w:val="0"/>
        <w:autoSpaceDN w:val="0"/>
        <w:adjustRightInd w:val="0"/>
        <w:spacing w:line="578" w:lineRule="exact"/>
        <w:ind w:firstLine="643" w:firstLineChars="200"/>
        <w:jc w:val="left"/>
        <w:rPr>
          <w:rFonts w:ascii="仿宋" w:hAnsi="仿宋" w:eastAsia="仿宋" w:cs="仿宋"/>
          <w:b w:val="0"/>
          <w:bCs w:val="0"/>
          <w:kern w:val="0"/>
          <w:sz w:val="32"/>
          <w:szCs w:val="32"/>
        </w:rPr>
      </w:pPr>
      <w:r>
        <w:rPr>
          <w:rFonts w:hint="eastAsia" w:ascii="仿宋" w:hAnsi="仿宋" w:eastAsia="仿宋" w:cs="仿宋"/>
          <w:b/>
          <w:bCs/>
          <w:kern w:val="0"/>
          <w:sz w:val="32"/>
          <w:szCs w:val="32"/>
        </w:rPr>
        <w:t>第二条</w:t>
      </w:r>
      <w:r>
        <w:rPr>
          <w:rFonts w:hint="eastAsia" w:ascii="仿宋" w:hAnsi="仿宋" w:eastAsia="仿宋" w:cs="仿宋"/>
          <w:b w:val="0"/>
          <w:bCs w:val="0"/>
          <w:kern w:val="0"/>
          <w:sz w:val="32"/>
          <w:szCs w:val="32"/>
        </w:rPr>
        <w:t xml:space="preserve"> 食用酵素</w:t>
      </w:r>
      <w:r>
        <w:rPr>
          <w:rFonts w:hint="eastAsia" w:ascii="仿宋" w:hAnsi="仿宋" w:eastAsia="仿宋" w:cs="仿宋"/>
          <w:b w:val="0"/>
          <w:bCs w:val="0"/>
          <w:sz w:val="32"/>
          <w:szCs w:val="32"/>
        </w:rPr>
        <w:t>的食品类别为“其他食品”，类别名称（品种明细）为：其他食品[其他食品（食用酵素）]，品种明细应当按终产品形态标明产品状态（固态、半固态、液态）；类别编号为3101。食用酵素食品类别、类别名称、品种明细及执行标准等见下表。</w:t>
      </w:r>
    </w:p>
    <w:p>
      <w:pPr>
        <w:tabs>
          <w:tab w:val="left" w:pos="0"/>
          <w:tab w:val="left" w:pos="425"/>
        </w:tabs>
        <w:spacing w:line="578" w:lineRule="exact"/>
        <w:jc w:val="center"/>
        <w:rPr>
          <w:rFonts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 xml:space="preserve">表1 </w:t>
      </w:r>
      <w:r>
        <w:rPr>
          <w:rFonts w:hint="eastAsia" w:ascii="仿宋" w:hAnsi="仿宋" w:eastAsia="仿宋" w:cs="仿宋"/>
          <w:b w:val="0"/>
          <w:bCs w:val="0"/>
          <w:color w:val="000000"/>
          <w:sz w:val="32"/>
          <w:szCs w:val="32"/>
        </w:rPr>
        <w:t>食用酵素食品类别目录列表</w:t>
      </w:r>
    </w:p>
    <w:tbl>
      <w:tblPr>
        <w:tblStyle w:val="9"/>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173"/>
        <w:gridCol w:w="1422"/>
        <w:gridCol w:w="3117"/>
        <w:gridCol w:w="141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blHeader/>
          <w:jc w:val="center"/>
        </w:trPr>
        <w:tc>
          <w:tcPr>
            <w:tcW w:w="10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val="0"/>
                <w:bCs w:val="0"/>
                <w:color w:val="000000"/>
                <w:sz w:val="30"/>
                <w:szCs w:val="30"/>
              </w:rPr>
            </w:pPr>
            <w:r>
              <w:rPr>
                <w:rFonts w:hint="eastAsia" w:ascii="仿宋" w:hAnsi="仿宋" w:eastAsia="仿宋" w:cs="仿宋"/>
                <w:b w:val="0"/>
                <w:bCs w:val="0"/>
                <w:color w:val="000000"/>
                <w:sz w:val="30"/>
                <w:szCs w:val="30"/>
              </w:rPr>
              <w:t>食品</w:t>
            </w:r>
          </w:p>
          <w:p>
            <w:pPr>
              <w:spacing w:line="400" w:lineRule="exact"/>
              <w:jc w:val="center"/>
              <w:rPr>
                <w:rFonts w:ascii="仿宋" w:hAnsi="仿宋" w:eastAsia="仿宋" w:cs="仿宋"/>
                <w:b w:val="0"/>
                <w:bCs w:val="0"/>
                <w:color w:val="000000"/>
                <w:sz w:val="30"/>
                <w:szCs w:val="30"/>
              </w:rPr>
            </w:pPr>
            <w:r>
              <w:rPr>
                <w:rFonts w:hint="eastAsia" w:ascii="仿宋" w:hAnsi="仿宋" w:eastAsia="仿宋" w:cs="仿宋"/>
                <w:b w:val="0"/>
                <w:bCs w:val="0"/>
                <w:color w:val="000000"/>
                <w:sz w:val="30"/>
                <w:szCs w:val="30"/>
              </w:rPr>
              <w:t>类别</w:t>
            </w:r>
          </w:p>
        </w:tc>
        <w:tc>
          <w:tcPr>
            <w:tcW w:w="11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val="0"/>
                <w:bCs w:val="0"/>
                <w:color w:val="000000"/>
                <w:sz w:val="30"/>
                <w:szCs w:val="30"/>
              </w:rPr>
            </w:pPr>
            <w:r>
              <w:rPr>
                <w:rFonts w:hint="eastAsia" w:ascii="仿宋" w:hAnsi="仿宋" w:eastAsia="仿宋" w:cs="仿宋"/>
                <w:b w:val="0"/>
                <w:bCs w:val="0"/>
                <w:color w:val="000000"/>
                <w:sz w:val="30"/>
                <w:szCs w:val="30"/>
              </w:rPr>
              <w:t>类别</w:t>
            </w:r>
          </w:p>
          <w:p>
            <w:pPr>
              <w:spacing w:line="400" w:lineRule="exact"/>
              <w:jc w:val="center"/>
              <w:rPr>
                <w:rFonts w:ascii="仿宋" w:hAnsi="仿宋" w:eastAsia="仿宋" w:cs="仿宋"/>
                <w:b w:val="0"/>
                <w:bCs w:val="0"/>
                <w:color w:val="000000"/>
                <w:sz w:val="30"/>
                <w:szCs w:val="30"/>
              </w:rPr>
            </w:pPr>
            <w:r>
              <w:rPr>
                <w:rFonts w:hint="eastAsia" w:ascii="仿宋" w:hAnsi="仿宋" w:eastAsia="仿宋" w:cs="仿宋"/>
                <w:b w:val="0"/>
                <w:bCs w:val="0"/>
                <w:color w:val="000000"/>
                <w:sz w:val="30"/>
                <w:szCs w:val="30"/>
              </w:rPr>
              <w:t>名称</w:t>
            </w:r>
          </w:p>
        </w:tc>
        <w:tc>
          <w:tcPr>
            <w:tcW w:w="14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val="0"/>
                <w:bCs w:val="0"/>
                <w:color w:val="000000"/>
                <w:sz w:val="30"/>
                <w:szCs w:val="30"/>
              </w:rPr>
            </w:pPr>
            <w:r>
              <w:rPr>
                <w:rFonts w:hint="eastAsia" w:ascii="仿宋" w:hAnsi="仿宋" w:eastAsia="仿宋" w:cs="仿宋"/>
                <w:b w:val="0"/>
                <w:bCs w:val="0"/>
                <w:color w:val="000000"/>
                <w:sz w:val="30"/>
                <w:szCs w:val="30"/>
              </w:rPr>
              <w:t>品种明细</w:t>
            </w:r>
          </w:p>
        </w:tc>
        <w:tc>
          <w:tcPr>
            <w:tcW w:w="3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val="0"/>
                <w:bCs w:val="0"/>
                <w:sz w:val="30"/>
                <w:szCs w:val="30"/>
              </w:rPr>
            </w:pPr>
            <w:r>
              <w:rPr>
                <w:rFonts w:hint="eastAsia" w:ascii="仿宋" w:hAnsi="仿宋" w:eastAsia="仿宋" w:cs="仿宋"/>
                <w:b w:val="0"/>
                <w:bCs w:val="0"/>
                <w:color w:val="000000"/>
                <w:sz w:val="30"/>
                <w:szCs w:val="30"/>
              </w:rPr>
              <w:t>定义</w:t>
            </w:r>
          </w:p>
        </w:tc>
        <w:tc>
          <w:tcPr>
            <w:tcW w:w="14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val="0"/>
                <w:bCs w:val="0"/>
                <w:color w:val="000000"/>
                <w:sz w:val="30"/>
                <w:szCs w:val="30"/>
              </w:rPr>
            </w:pPr>
            <w:r>
              <w:rPr>
                <w:rFonts w:hint="eastAsia" w:ascii="仿宋" w:hAnsi="仿宋" w:eastAsia="仿宋" w:cs="仿宋"/>
                <w:b w:val="0"/>
                <w:bCs w:val="0"/>
                <w:color w:val="000000"/>
                <w:sz w:val="30"/>
                <w:szCs w:val="30"/>
              </w:rPr>
              <w:t>执行</w:t>
            </w:r>
          </w:p>
          <w:p>
            <w:pPr>
              <w:spacing w:line="400" w:lineRule="exact"/>
              <w:jc w:val="center"/>
              <w:rPr>
                <w:rFonts w:ascii="仿宋" w:hAnsi="仿宋" w:eastAsia="仿宋" w:cs="仿宋"/>
                <w:b w:val="0"/>
                <w:bCs w:val="0"/>
                <w:sz w:val="30"/>
                <w:szCs w:val="30"/>
              </w:rPr>
            </w:pPr>
            <w:r>
              <w:rPr>
                <w:rFonts w:hint="eastAsia" w:ascii="仿宋" w:hAnsi="仿宋" w:eastAsia="仿宋" w:cs="仿宋"/>
                <w:b w:val="0"/>
                <w:bCs w:val="0"/>
                <w:color w:val="000000"/>
                <w:sz w:val="30"/>
                <w:szCs w:val="30"/>
              </w:rPr>
              <w:t>标准</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val="0"/>
                <w:bCs w:val="0"/>
                <w:color w:val="000000"/>
                <w:sz w:val="30"/>
                <w:szCs w:val="30"/>
              </w:rPr>
            </w:pPr>
            <w:r>
              <w:rPr>
                <w:rFonts w:hint="eastAsia" w:ascii="仿宋" w:hAnsi="仿宋" w:eastAsia="仿宋" w:cs="仿宋"/>
                <w:b w:val="0"/>
                <w:bCs w:val="0"/>
                <w:color w:val="000000"/>
                <w:sz w:val="30"/>
                <w:szCs w:val="30"/>
              </w:rPr>
              <w:t>备注</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0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b w:val="0"/>
                <w:bCs w:val="0"/>
                <w:sz w:val="28"/>
                <w:szCs w:val="28"/>
              </w:rPr>
            </w:pPr>
            <w:r>
              <w:rPr>
                <w:rFonts w:hint="eastAsia" w:ascii="仿宋" w:hAnsi="仿宋" w:eastAsia="仿宋" w:cs="仿宋"/>
                <w:b w:val="0"/>
                <w:bCs w:val="0"/>
                <w:sz w:val="28"/>
                <w:szCs w:val="28"/>
              </w:rPr>
              <w:t>其他</w:t>
            </w:r>
          </w:p>
          <w:p>
            <w:pPr>
              <w:widowControl/>
              <w:spacing w:line="400" w:lineRule="exact"/>
              <w:jc w:val="center"/>
              <w:rPr>
                <w:rFonts w:ascii="仿宋" w:hAnsi="仿宋" w:eastAsia="仿宋" w:cs="仿宋"/>
                <w:b w:val="0"/>
                <w:bCs w:val="0"/>
                <w:sz w:val="28"/>
                <w:szCs w:val="28"/>
              </w:rPr>
            </w:pPr>
            <w:r>
              <w:rPr>
                <w:rFonts w:hint="eastAsia" w:ascii="仿宋" w:hAnsi="仿宋" w:eastAsia="仿宋" w:cs="仿宋"/>
                <w:b w:val="0"/>
                <w:bCs w:val="0"/>
                <w:sz w:val="28"/>
                <w:szCs w:val="28"/>
              </w:rPr>
              <w:t>食品</w:t>
            </w:r>
          </w:p>
        </w:tc>
        <w:tc>
          <w:tcPr>
            <w:tcW w:w="11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val="0"/>
                <w:bCs w:val="0"/>
                <w:sz w:val="28"/>
                <w:szCs w:val="28"/>
              </w:rPr>
            </w:pPr>
            <w:r>
              <w:rPr>
                <w:rFonts w:hint="eastAsia" w:ascii="仿宋" w:hAnsi="仿宋" w:eastAsia="仿宋" w:cs="仿宋"/>
                <w:b w:val="0"/>
                <w:bCs w:val="0"/>
                <w:sz w:val="28"/>
                <w:szCs w:val="28"/>
              </w:rPr>
              <w:t>其他</w:t>
            </w:r>
          </w:p>
          <w:p>
            <w:pPr>
              <w:spacing w:line="400" w:lineRule="exact"/>
              <w:jc w:val="center"/>
              <w:rPr>
                <w:rFonts w:ascii="仿宋" w:hAnsi="仿宋" w:eastAsia="仿宋" w:cs="仿宋"/>
                <w:b w:val="0"/>
                <w:bCs w:val="0"/>
                <w:sz w:val="28"/>
                <w:szCs w:val="28"/>
              </w:rPr>
            </w:pPr>
            <w:r>
              <w:rPr>
                <w:rFonts w:hint="eastAsia" w:ascii="仿宋" w:hAnsi="仿宋" w:eastAsia="仿宋" w:cs="仿宋"/>
                <w:b w:val="0"/>
                <w:bCs w:val="0"/>
                <w:sz w:val="28"/>
                <w:szCs w:val="28"/>
              </w:rPr>
              <w:t>食品</w:t>
            </w:r>
          </w:p>
        </w:tc>
        <w:tc>
          <w:tcPr>
            <w:tcW w:w="14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val="0"/>
                <w:bCs w:val="0"/>
                <w:sz w:val="28"/>
                <w:szCs w:val="28"/>
              </w:rPr>
            </w:pPr>
            <w:r>
              <w:rPr>
                <w:rFonts w:hint="eastAsia" w:ascii="仿宋" w:hAnsi="仿宋" w:eastAsia="仿宋" w:cs="仿宋"/>
                <w:b w:val="0"/>
                <w:bCs w:val="0"/>
                <w:sz w:val="28"/>
                <w:szCs w:val="28"/>
              </w:rPr>
              <w:t>其他食品[食用酵素(固态、半固态、液态)]</w:t>
            </w:r>
          </w:p>
        </w:tc>
        <w:tc>
          <w:tcPr>
            <w:tcW w:w="3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val="0"/>
                <w:bCs w:val="0"/>
                <w:sz w:val="28"/>
                <w:szCs w:val="28"/>
              </w:rPr>
            </w:pPr>
            <w:r>
              <w:rPr>
                <w:rFonts w:hint="eastAsia" w:ascii="仿宋" w:hAnsi="仿宋" w:eastAsia="仿宋" w:cs="仿宋"/>
                <w:b w:val="0"/>
                <w:bCs w:val="0"/>
                <w:sz w:val="28"/>
                <w:szCs w:val="28"/>
              </w:rPr>
              <w:t>以（可用于食品加工的）动物、（可用于食品加工的）植物、食用菌等为原料，添加或不添加辅料，经微生物发酵制得的含有特定生物活性成分，可供人类食用的酵素产品。特定生物活性成分是指来自生物体内的或经发酵制得的对生命现象有影响的微量或少量物质，包括多糖类、寡糖类、多酚类、皂苷类、黄酮类、有机酸类、蛋白质及多肽类、氨基酸类、维生素类等。</w:t>
            </w:r>
          </w:p>
        </w:tc>
        <w:tc>
          <w:tcPr>
            <w:tcW w:w="14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val="0"/>
                <w:bCs w:val="0"/>
                <w:sz w:val="28"/>
                <w:szCs w:val="28"/>
              </w:rPr>
            </w:pPr>
            <w:r>
              <w:rPr>
                <w:rFonts w:hint="eastAsia" w:ascii="仿宋" w:hAnsi="仿宋" w:eastAsia="仿宋" w:cs="仿宋"/>
                <w:b w:val="0"/>
                <w:bCs w:val="0"/>
                <w:sz w:val="28"/>
                <w:szCs w:val="28"/>
                <w:lang w:val="en-US" w:eastAsia="zh-CN"/>
              </w:rPr>
              <w:t>有效的、相对应的食品安全国家标准、行业标准、地方标准、团体标准及</w:t>
            </w:r>
            <w:r>
              <w:rPr>
                <w:rFonts w:hint="eastAsia" w:ascii="仿宋" w:hAnsi="仿宋" w:eastAsia="仿宋" w:cs="仿宋"/>
                <w:b w:val="0"/>
                <w:bCs w:val="0"/>
                <w:sz w:val="28"/>
                <w:szCs w:val="28"/>
              </w:rPr>
              <w:t>企业标准。</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val="0"/>
                <w:bCs w:val="0"/>
                <w:sz w:val="28"/>
                <w:szCs w:val="28"/>
              </w:rPr>
            </w:pPr>
            <w:r>
              <w:rPr>
                <w:rFonts w:hint="eastAsia" w:ascii="仿宋" w:hAnsi="仿宋" w:eastAsia="仿宋" w:cs="仿宋"/>
                <w:b w:val="0"/>
                <w:bCs w:val="0"/>
                <w:sz w:val="28"/>
                <w:szCs w:val="28"/>
              </w:rPr>
              <w:t>不包括无原料前处理、发酵等关键工序，仅有包装场地、工序、设备，没有合理的设备布局和工艺流程生产的产品。</w:t>
            </w:r>
          </w:p>
        </w:tc>
      </w:tr>
    </w:tbl>
    <w:p>
      <w:pPr>
        <w:spacing w:line="578" w:lineRule="exact"/>
        <w:ind w:firstLine="643" w:firstLineChars="200"/>
        <w:rPr>
          <w:rFonts w:ascii="仿宋" w:hAnsi="仿宋" w:eastAsia="仿宋" w:cs="仿宋"/>
          <w:b w:val="0"/>
          <w:bCs w:val="0"/>
          <w:color w:val="000000"/>
          <w:sz w:val="32"/>
          <w:szCs w:val="32"/>
        </w:rPr>
      </w:pPr>
      <w:r>
        <w:rPr>
          <w:rFonts w:hint="eastAsia" w:ascii="仿宋" w:hAnsi="仿宋" w:eastAsia="仿宋" w:cs="仿宋"/>
          <w:b/>
          <w:bCs/>
          <w:kern w:val="0"/>
          <w:sz w:val="32"/>
          <w:szCs w:val="32"/>
        </w:rPr>
        <w:t>第三条</w:t>
      </w:r>
      <w:r>
        <w:rPr>
          <w:rFonts w:hint="eastAsia" w:ascii="仿宋" w:hAnsi="仿宋" w:eastAsia="仿宋" w:cs="仿宋"/>
          <w:b w:val="0"/>
          <w:bCs w:val="0"/>
          <w:color w:val="000000"/>
          <w:sz w:val="32"/>
          <w:szCs w:val="32"/>
        </w:rPr>
        <w:t xml:space="preserve"> 本方案中引用的文件、标准通过引用成为本方案的内容。凡是引用文件、标准，其最新版本（包括所有的修改单）适用于本方案。</w:t>
      </w:r>
    </w:p>
    <w:bookmarkEnd w:id="2"/>
    <w:bookmarkEnd w:id="3"/>
    <w:p>
      <w:pPr>
        <w:tabs>
          <w:tab w:val="left" w:pos="8820"/>
        </w:tabs>
        <w:spacing w:before="240" w:line="578" w:lineRule="exact"/>
        <w:jc w:val="center"/>
        <w:rPr>
          <w:rFonts w:ascii="黑体" w:hAnsi="黑体" w:eastAsia="黑体" w:cs="仿宋"/>
          <w:b w:val="0"/>
          <w:bCs w:val="0"/>
          <w:kern w:val="0"/>
          <w:sz w:val="32"/>
          <w:szCs w:val="32"/>
        </w:rPr>
      </w:pPr>
      <w:bookmarkStart w:id="4" w:name="_Toc416939945"/>
      <w:bookmarkStart w:id="5" w:name="_Toc415228658"/>
      <w:bookmarkStart w:id="6" w:name="_Toc28607"/>
      <w:r>
        <w:rPr>
          <w:rFonts w:hint="eastAsia" w:ascii="黑体" w:hAnsi="黑体" w:eastAsia="黑体" w:cs="仿宋"/>
          <w:b w:val="0"/>
          <w:bCs w:val="0"/>
          <w:kern w:val="0"/>
          <w:sz w:val="32"/>
          <w:szCs w:val="32"/>
        </w:rPr>
        <w:t>第二章 生产场所</w:t>
      </w:r>
      <w:bookmarkEnd w:id="4"/>
      <w:bookmarkEnd w:id="5"/>
      <w:bookmarkEnd w:id="6"/>
    </w:p>
    <w:p>
      <w:pPr>
        <w:tabs>
          <w:tab w:val="left" w:pos="0"/>
        </w:tabs>
        <w:spacing w:line="578" w:lineRule="exact"/>
        <w:ind w:firstLine="643" w:firstLineChars="200"/>
        <w:rPr>
          <w:rFonts w:ascii="仿宋" w:hAnsi="仿宋" w:eastAsia="仿宋" w:cs="仿宋"/>
          <w:b w:val="0"/>
          <w:bCs w:val="0"/>
          <w:color w:val="000000"/>
          <w:sz w:val="32"/>
          <w:szCs w:val="32"/>
        </w:rPr>
      </w:pPr>
      <w:r>
        <w:rPr>
          <w:rFonts w:hint="eastAsia" w:ascii="仿宋" w:hAnsi="仿宋" w:eastAsia="仿宋" w:cs="仿宋"/>
          <w:b/>
          <w:bCs/>
          <w:kern w:val="0"/>
          <w:sz w:val="32"/>
          <w:szCs w:val="32"/>
        </w:rPr>
        <w:t>第四条</w:t>
      </w:r>
      <w:r>
        <w:rPr>
          <w:rFonts w:hint="eastAsia" w:ascii="仿宋" w:hAnsi="仿宋" w:eastAsia="仿宋" w:cs="仿宋"/>
          <w:b w:val="0"/>
          <w:bCs w:val="0"/>
          <w:color w:val="000000"/>
          <w:sz w:val="32"/>
          <w:szCs w:val="32"/>
        </w:rPr>
        <w:t xml:space="preserve"> 企业厂房选址和设计、内部建筑结构、辅助生产设施应当能够避免污染、交叉污染、微生物孳生，便于清洁、操作和维护。人流、物流走向应当合理，有效控制人员、设备和物料流动造成的污染。</w:t>
      </w:r>
    </w:p>
    <w:p>
      <w:pPr>
        <w:tabs>
          <w:tab w:val="left" w:pos="0"/>
          <w:tab w:val="left" w:pos="425"/>
        </w:tabs>
        <w:spacing w:line="578" w:lineRule="exact"/>
        <w:ind w:firstLine="643" w:firstLineChars="200"/>
        <w:outlineLvl w:val="3"/>
        <w:rPr>
          <w:rFonts w:hint="eastAsia" w:ascii="仿宋" w:hAnsi="仿宋" w:eastAsia="仿宋" w:cs="仿宋"/>
          <w:b w:val="0"/>
          <w:bCs w:val="0"/>
          <w:sz w:val="32"/>
          <w:szCs w:val="32"/>
        </w:rPr>
      </w:pPr>
      <w:r>
        <w:rPr>
          <w:rFonts w:hint="eastAsia" w:ascii="仿宋" w:hAnsi="仿宋" w:eastAsia="仿宋" w:cs="仿宋"/>
          <w:b/>
          <w:bCs/>
          <w:kern w:val="0"/>
          <w:sz w:val="32"/>
          <w:szCs w:val="32"/>
        </w:rPr>
        <w:t>第五条</w:t>
      </w:r>
      <w:r>
        <w:rPr>
          <w:rFonts w:hint="eastAsia" w:ascii="仿宋" w:hAnsi="仿宋" w:eastAsia="仿宋" w:cs="仿宋"/>
          <w:b w:val="0"/>
          <w:bCs w:val="0"/>
          <w:color w:val="000000"/>
          <w:sz w:val="32"/>
          <w:szCs w:val="32"/>
        </w:rPr>
        <w:t xml:space="preserve"> 生产车间及辅助设施的设置应按生产流程需要及卫生要求，有序而合理布局，根据生产流程、生产操作需</w:t>
      </w:r>
      <w:r>
        <w:rPr>
          <w:rFonts w:hint="eastAsia" w:ascii="仿宋" w:hAnsi="仿宋" w:eastAsia="仿宋" w:cs="仿宋"/>
          <w:b w:val="0"/>
          <w:bCs w:val="0"/>
          <w:sz w:val="32"/>
          <w:szCs w:val="32"/>
        </w:rPr>
        <w:t>要和清洁度的要求进行隔离，避免交叉污染。</w:t>
      </w:r>
      <w:r>
        <w:rPr>
          <w:rFonts w:hint="eastAsia" w:ascii="仿宋" w:hAnsi="仿宋" w:eastAsia="仿宋" w:cs="仿宋"/>
          <w:b w:val="0"/>
          <w:bCs w:val="0"/>
          <w:kern w:val="0"/>
          <w:sz w:val="32"/>
          <w:szCs w:val="32"/>
        </w:rPr>
        <w:t>可能产生有害气体、粉尘、噪声和污染等污染源的生产场所必须单独设置，并与居民区有适当的卫生防护距离和措施。在使用、贮存强酸、强碱等腐蚀性化学物质的场所</w:t>
      </w:r>
      <w:r>
        <w:rPr>
          <w:rFonts w:hint="eastAsia" w:ascii="仿宋" w:hAnsi="仿宋" w:eastAsia="仿宋" w:cs="仿宋"/>
          <w:b w:val="0"/>
          <w:bCs w:val="0"/>
          <w:sz w:val="32"/>
          <w:szCs w:val="32"/>
        </w:rPr>
        <w:t>，应有防护措施和明显的警示标识。</w:t>
      </w:r>
    </w:p>
    <w:p>
      <w:pPr>
        <w:tabs>
          <w:tab w:val="left" w:pos="0"/>
          <w:tab w:val="left" w:pos="425"/>
        </w:tabs>
        <w:spacing w:line="578" w:lineRule="exact"/>
        <w:ind w:firstLine="640" w:firstLineChars="200"/>
        <w:outlineLvl w:val="3"/>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生产车间根据工艺需要一般包括原料前处理区、水处理区、菌株（种）制备间（区）（外购菌种的除外）、扩培间（区）（外购菌种的除外）、发酵间（区）、过滤间（区）、</w:t>
      </w:r>
      <w:r>
        <w:rPr>
          <w:rFonts w:hint="eastAsia" w:ascii="仿宋" w:hAnsi="仿宋" w:eastAsia="仿宋" w:cs="仿宋"/>
          <w:b w:val="0"/>
          <w:bCs w:val="0"/>
          <w:kern w:val="0"/>
          <w:sz w:val="28"/>
          <w:szCs w:val="28"/>
        </w:rPr>
        <w:t>半成品暂存</w:t>
      </w:r>
      <w:r>
        <w:rPr>
          <w:rFonts w:hint="eastAsia" w:ascii="仿宋" w:hAnsi="仿宋" w:eastAsia="仿宋" w:cs="仿宋"/>
          <w:b w:val="0"/>
          <w:bCs w:val="0"/>
          <w:kern w:val="0"/>
          <w:sz w:val="28"/>
          <w:szCs w:val="28"/>
          <w:lang w:val="en-US" w:eastAsia="zh-CN"/>
        </w:rPr>
        <w:t>间（</w:t>
      </w:r>
      <w:r>
        <w:rPr>
          <w:rFonts w:hint="eastAsia" w:ascii="仿宋" w:hAnsi="仿宋" w:eastAsia="仿宋" w:cs="仿宋"/>
          <w:b w:val="0"/>
          <w:bCs w:val="0"/>
          <w:kern w:val="0"/>
          <w:sz w:val="28"/>
          <w:szCs w:val="28"/>
        </w:rPr>
        <w:t>区</w:t>
      </w:r>
      <w:r>
        <w:rPr>
          <w:rFonts w:hint="eastAsia" w:ascii="仿宋" w:hAnsi="仿宋" w:eastAsia="仿宋" w:cs="仿宋"/>
          <w:b w:val="0"/>
          <w:bCs w:val="0"/>
          <w:kern w:val="0"/>
          <w:sz w:val="28"/>
          <w:szCs w:val="28"/>
          <w:lang w:val="en-US" w:eastAsia="zh-CN"/>
        </w:rPr>
        <w:t>）、干燥间（区）、调配（配料）间（区）、内包（灌装）间（区）、杀菌（冷却）间（区）、原辅料外包装清洁区、仓储区、外包装区等。</w:t>
      </w:r>
    </w:p>
    <w:p>
      <w:pPr>
        <w:tabs>
          <w:tab w:val="left" w:pos="0"/>
          <w:tab w:val="left" w:pos="425"/>
        </w:tabs>
        <w:spacing w:line="578" w:lineRule="exact"/>
        <w:ind w:firstLine="640" w:firstLineChars="200"/>
        <w:jc w:val="both"/>
        <w:outlineLvl w:val="3"/>
        <w:rPr>
          <w:rFonts w:ascii="仿宋" w:hAnsi="仿宋" w:eastAsia="仿宋" w:cs="仿宋"/>
          <w:b w:val="0"/>
          <w:bCs w:val="0"/>
          <w:color w:val="000000"/>
          <w:sz w:val="32"/>
          <w:szCs w:val="32"/>
        </w:rPr>
      </w:pPr>
      <w:r>
        <w:rPr>
          <w:rFonts w:hint="eastAsia" w:ascii="仿宋" w:hAnsi="仿宋" w:eastAsia="仿宋" w:cs="仿宋"/>
          <w:b w:val="0"/>
          <w:bCs w:val="0"/>
          <w:color w:val="000000"/>
          <w:sz w:val="32"/>
          <w:szCs w:val="32"/>
        </w:rPr>
        <w:t>车间内应区分清洁作业区、准清洁作业区和一般作业区，食用酵素生产车间及清洁作业区具体划分见下表。</w:t>
      </w:r>
    </w:p>
    <w:p>
      <w:pPr>
        <w:keepNext w:val="0"/>
        <w:keepLines w:val="0"/>
        <w:pageBreakBefore w:val="0"/>
        <w:widowControl w:val="0"/>
        <w:tabs>
          <w:tab w:val="left" w:pos="0"/>
          <w:tab w:val="left" w:pos="425"/>
        </w:tabs>
        <w:kinsoku/>
        <w:wordWrap/>
        <w:overflowPunct/>
        <w:topLinePunct w:val="0"/>
        <w:autoSpaceDE/>
        <w:autoSpaceDN/>
        <w:bidi w:val="0"/>
        <w:adjustRightInd/>
        <w:snapToGrid/>
        <w:spacing w:before="157" w:beforeLines="50" w:line="578" w:lineRule="exact"/>
        <w:ind w:firstLine="640" w:firstLineChars="200"/>
        <w:jc w:val="center"/>
        <w:textAlignment w:val="auto"/>
        <w:outlineLvl w:val="3"/>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 xml:space="preserve">表2 </w:t>
      </w:r>
      <w:r>
        <w:rPr>
          <w:rFonts w:hint="eastAsia" w:ascii="仿宋" w:hAnsi="仿宋" w:eastAsia="仿宋" w:cs="仿宋"/>
          <w:b w:val="0"/>
          <w:bCs w:val="0"/>
          <w:color w:val="000000"/>
          <w:sz w:val="32"/>
          <w:szCs w:val="32"/>
        </w:rPr>
        <w:t>食用酵素企业生产车间及清洁作业区划分表</w:t>
      </w:r>
    </w:p>
    <w:tbl>
      <w:tblPr>
        <w:tblStyle w:val="9"/>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2623"/>
        <w:gridCol w:w="2250"/>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21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b w:val="0"/>
                <w:bCs w:val="0"/>
                <w:kern w:val="0"/>
                <w:sz w:val="30"/>
                <w:szCs w:val="30"/>
              </w:rPr>
            </w:pPr>
            <w:r>
              <w:rPr>
                <w:rFonts w:hint="eastAsia" w:ascii="仿宋" w:hAnsi="仿宋" w:eastAsia="仿宋" w:cs="仿宋"/>
                <w:b w:val="0"/>
                <w:bCs w:val="0"/>
                <w:kern w:val="0"/>
                <w:sz w:val="30"/>
                <w:szCs w:val="30"/>
              </w:rPr>
              <w:t>产品名称</w:t>
            </w:r>
          </w:p>
        </w:tc>
        <w:tc>
          <w:tcPr>
            <w:tcW w:w="26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b w:val="0"/>
                <w:bCs w:val="0"/>
                <w:kern w:val="0"/>
                <w:sz w:val="30"/>
                <w:szCs w:val="30"/>
              </w:rPr>
            </w:pPr>
            <w:r>
              <w:rPr>
                <w:rFonts w:hint="eastAsia" w:ascii="仿宋" w:hAnsi="仿宋" w:eastAsia="仿宋" w:cs="仿宋"/>
                <w:b w:val="0"/>
                <w:bCs w:val="0"/>
                <w:kern w:val="0"/>
                <w:sz w:val="30"/>
                <w:szCs w:val="30"/>
              </w:rPr>
              <w:t>清洁作业区</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b w:val="0"/>
                <w:bCs w:val="0"/>
                <w:kern w:val="0"/>
                <w:sz w:val="30"/>
                <w:szCs w:val="30"/>
              </w:rPr>
            </w:pPr>
            <w:r>
              <w:rPr>
                <w:rFonts w:hint="eastAsia" w:ascii="仿宋" w:hAnsi="仿宋" w:eastAsia="仿宋" w:cs="仿宋"/>
                <w:b w:val="0"/>
                <w:bCs w:val="0"/>
                <w:kern w:val="0"/>
                <w:sz w:val="30"/>
                <w:szCs w:val="30"/>
              </w:rPr>
              <w:t>准清洁作业区</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b w:val="0"/>
                <w:bCs w:val="0"/>
                <w:kern w:val="0"/>
                <w:sz w:val="30"/>
                <w:szCs w:val="30"/>
              </w:rPr>
            </w:pPr>
            <w:r>
              <w:rPr>
                <w:rFonts w:hint="eastAsia" w:ascii="仿宋" w:hAnsi="仿宋" w:eastAsia="仿宋" w:cs="仿宋"/>
                <w:b w:val="0"/>
                <w:bCs w:val="0"/>
                <w:kern w:val="0"/>
                <w:sz w:val="30"/>
                <w:szCs w:val="30"/>
              </w:rPr>
              <w:t>一般作业区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1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b w:val="0"/>
                <w:bCs w:val="0"/>
                <w:kern w:val="0"/>
                <w:sz w:val="28"/>
                <w:szCs w:val="28"/>
              </w:rPr>
            </w:pPr>
            <w:r>
              <w:rPr>
                <w:rFonts w:hint="eastAsia" w:ascii="仿宋" w:hAnsi="仿宋" w:eastAsia="仿宋" w:cs="仿宋"/>
                <w:b w:val="0"/>
                <w:bCs w:val="0"/>
                <w:kern w:val="0"/>
                <w:sz w:val="28"/>
                <w:szCs w:val="28"/>
              </w:rPr>
              <w:t>食用酵素（固态）</w:t>
            </w:r>
          </w:p>
        </w:tc>
        <w:tc>
          <w:tcPr>
            <w:tcW w:w="26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仿宋"/>
                <w:b w:val="0"/>
                <w:bCs w:val="0"/>
                <w:kern w:val="0"/>
                <w:sz w:val="28"/>
                <w:szCs w:val="28"/>
              </w:rPr>
            </w:pPr>
            <w:r>
              <w:rPr>
                <w:rFonts w:hint="eastAsia" w:ascii="仿宋" w:hAnsi="仿宋" w:eastAsia="仿宋" w:cs="仿宋"/>
                <w:b w:val="0"/>
                <w:bCs w:val="0"/>
                <w:kern w:val="0"/>
                <w:sz w:val="28"/>
                <w:szCs w:val="28"/>
              </w:rPr>
              <w:t>内包装区、配料混合区、半成品暂存区</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仿宋"/>
                <w:b w:val="0"/>
                <w:bCs w:val="0"/>
                <w:kern w:val="0"/>
                <w:sz w:val="28"/>
                <w:szCs w:val="28"/>
              </w:rPr>
            </w:pPr>
            <w:r>
              <w:rPr>
                <w:rFonts w:hint="eastAsia" w:ascii="仿宋" w:hAnsi="仿宋" w:eastAsia="仿宋" w:cs="仿宋"/>
                <w:b w:val="0"/>
                <w:bCs w:val="0"/>
                <w:kern w:val="0"/>
                <w:sz w:val="28"/>
                <w:szCs w:val="28"/>
                <w:lang w:val="en-US" w:eastAsia="zh-CN"/>
              </w:rPr>
              <w:t>原料前处理区、菌种培养区、</w:t>
            </w:r>
            <w:r>
              <w:rPr>
                <w:rFonts w:hint="eastAsia" w:ascii="仿宋" w:hAnsi="仿宋" w:eastAsia="仿宋" w:cs="仿宋"/>
                <w:b w:val="0"/>
                <w:bCs w:val="0"/>
                <w:kern w:val="0"/>
                <w:sz w:val="28"/>
                <w:szCs w:val="28"/>
              </w:rPr>
              <w:t>发酵区、过滤区、调配区、干燥区、杀菌区</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 w:hAnsi="仿宋" w:eastAsia="仿宋" w:cs="仿宋"/>
                <w:b w:val="0"/>
                <w:bCs w:val="0"/>
                <w:kern w:val="0"/>
                <w:sz w:val="28"/>
                <w:szCs w:val="28"/>
                <w:lang w:eastAsia="zh-CN"/>
              </w:rPr>
            </w:pPr>
            <w:r>
              <w:rPr>
                <w:rFonts w:hint="eastAsia" w:ascii="仿宋" w:hAnsi="仿宋" w:eastAsia="仿宋" w:cs="仿宋"/>
                <w:b w:val="0"/>
                <w:bCs w:val="0"/>
                <w:kern w:val="0"/>
                <w:sz w:val="28"/>
                <w:szCs w:val="28"/>
                <w:lang w:val="en-US" w:eastAsia="zh-CN"/>
              </w:rPr>
              <w:t>原辅料外包装清洁区、</w:t>
            </w:r>
            <w:r>
              <w:rPr>
                <w:rFonts w:hint="eastAsia" w:ascii="仿宋" w:hAnsi="仿宋" w:eastAsia="仿宋" w:cs="仿宋"/>
                <w:b w:val="0"/>
                <w:bCs w:val="0"/>
                <w:kern w:val="0"/>
                <w:sz w:val="28"/>
                <w:szCs w:val="28"/>
              </w:rPr>
              <w:t>原料清洗区、水处理区、仓储区、外包装区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1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b w:val="0"/>
                <w:bCs w:val="0"/>
                <w:kern w:val="0"/>
                <w:sz w:val="28"/>
                <w:szCs w:val="28"/>
              </w:rPr>
            </w:pPr>
            <w:r>
              <w:rPr>
                <w:rFonts w:hint="eastAsia" w:ascii="仿宋" w:hAnsi="仿宋" w:eastAsia="仿宋" w:cs="仿宋"/>
                <w:b w:val="0"/>
                <w:bCs w:val="0"/>
                <w:kern w:val="0"/>
                <w:sz w:val="28"/>
                <w:szCs w:val="28"/>
              </w:rPr>
              <w:t>食用酵素（半固态/液态）</w:t>
            </w:r>
          </w:p>
        </w:tc>
        <w:tc>
          <w:tcPr>
            <w:tcW w:w="26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仿宋"/>
                <w:b w:val="0"/>
                <w:bCs w:val="0"/>
                <w:kern w:val="0"/>
                <w:sz w:val="28"/>
                <w:szCs w:val="28"/>
              </w:rPr>
            </w:pPr>
            <w:r>
              <w:rPr>
                <w:rFonts w:hint="eastAsia" w:ascii="仿宋" w:hAnsi="仿宋" w:eastAsia="仿宋" w:cs="仿宋"/>
                <w:b w:val="0"/>
                <w:bCs w:val="0"/>
                <w:kern w:val="0"/>
                <w:sz w:val="28"/>
                <w:szCs w:val="28"/>
              </w:rPr>
              <w:t>灌装区</w:t>
            </w: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rPr>
              <w:t>冷却区</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仿宋"/>
                <w:b w:val="0"/>
                <w:bCs w:val="0"/>
                <w:kern w:val="0"/>
                <w:sz w:val="28"/>
                <w:szCs w:val="28"/>
              </w:rPr>
            </w:pPr>
            <w:r>
              <w:rPr>
                <w:rFonts w:hint="eastAsia" w:ascii="仿宋" w:hAnsi="仿宋" w:eastAsia="仿宋" w:cs="仿宋"/>
                <w:b w:val="0"/>
                <w:bCs w:val="0"/>
                <w:kern w:val="0"/>
                <w:sz w:val="28"/>
                <w:szCs w:val="28"/>
                <w:lang w:val="en-US" w:eastAsia="zh-CN"/>
              </w:rPr>
              <w:t>原料前处理区、菌种培养区、</w:t>
            </w:r>
            <w:r>
              <w:rPr>
                <w:rFonts w:hint="eastAsia" w:ascii="仿宋" w:hAnsi="仿宋" w:eastAsia="仿宋" w:cs="仿宋"/>
                <w:b w:val="0"/>
                <w:bCs w:val="0"/>
                <w:kern w:val="0"/>
                <w:sz w:val="28"/>
                <w:szCs w:val="28"/>
              </w:rPr>
              <w:t>发酵区、过滤区、调配区、杀菌区、</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仿宋"/>
                <w:b w:val="0"/>
                <w:bCs w:val="0"/>
                <w:kern w:val="0"/>
                <w:sz w:val="28"/>
                <w:szCs w:val="28"/>
              </w:rPr>
            </w:pPr>
            <w:r>
              <w:rPr>
                <w:rFonts w:hint="eastAsia" w:ascii="仿宋" w:hAnsi="仿宋" w:eastAsia="仿宋" w:cs="仿宋"/>
                <w:b w:val="0"/>
                <w:bCs w:val="0"/>
                <w:kern w:val="0"/>
                <w:sz w:val="28"/>
                <w:szCs w:val="28"/>
                <w:lang w:val="en-US" w:eastAsia="zh-CN"/>
              </w:rPr>
              <w:t>原辅料外包装清洁区、</w:t>
            </w:r>
            <w:r>
              <w:rPr>
                <w:rFonts w:hint="eastAsia" w:ascii="仿宋" w:hAnsi="仿宋" w:eastAsia="仿宋" w:cs="仿宋"/>
                <w:b w:val="0"/>
                <w:bCs w:val="0"/>
                <w:kern w:val="0"/>
                <w:sz w:val="28"/>
                <w:szCs w:val="28"/>
              </w:rPr>
              <w:t>原料清洗区、水处理区、仓储区、外包装区</w:t>
            </w:r>
          </w:p>
        </w:tc>
      </w:tr>
    </w:tbl>
    <w:p>
      <w:pPr>
        <w:tabs>
          <w:tab w:val="left" w:pos="0"/>
          <w:tab w:val="left" w:pos="425"/>
        </w:tabs>
        <w:spacing w:line="578" w:lineRule="exact"/>
        <w:ind w:firstLine="640" w:firstLineChars="200"/>
        <w:jc w:val="left"/>
        <w:outlineLvl w:val="3"/>
        <w:rPr>
          <w:rFonts w:ascii="仿宋" w:hAnsi="仿宋" w:eastAsia="仿宋" w:cs="仿宋"/>
          <w:b w:val="0"/>
          <w:bCs w:val="0"/>
          <w:color w:val="000000"/>
          <w:sz w:val="32"/>
          <w:szCs w:val="32"/>
        </w:rPr>
      </w:pPr>
      <w:r>
        <w:rPr>
          <w:rFonts w:hint="eastAsia" w:ascii="仿宋" w:hAnsi="仿宋" w:eastAsia="仿宋" w:cs="仿宋"/>
          <w:b w:val="0"/>
          <w:bCs w:val="0"/>
          <w:color w:val="000000"/>
          <w:sz w:val="32"/>
          <w:szCs w:val="32"/>
        </w:rPr>
        <w:t>食用酵素（固态）中的半成品暂存区，指裸露待包装的半成品贮存区域。</w:t>
      </w:r>
    </w:p>
    <w:p>
      <w:pPr>
        <w:tabs>
          <w:tab w:val="left" w:pos="0"/>
          <w:tab w:val="left" w:pos="425"/>
        </w:tabs>
        <w:spacing w:line="578" w:lineRule="exact"/>
        <w:ind w:firstLine="640" w:firstLineChars="200"/>
        <w:jc w:val="left"/>
        <w:outlineLvl w:val="3"/>
        <w:rPr>
          <w:rFonts w:ascii="仿宋" w:hAnsi="仿宋" w:eastAsia="仿宋" w:cs="仿宋"/>
          <w:b w:val="0"/>
          <w:bCs w:val="0"/>
          <w:color w:val="000000"/>
          <w:sz w:val="32"/>
          <w:szCs w:val="32"/>
        </w:rPr>
      </w:pPr>
      <w:r>
        <w:rPr>
          <w:rFonts w:hint="eastAsia" w:ascii="仿宋" w:hAnsi="仿宋" w:eastAsia="仿宋" w:cs="仿宋"/>
          <w:b w:val="0"/>
          <w:bCs w:val="0"/>
          <w:color w:val="000000"/>
          <w:sz w:val="32"/>
          <w:szCs w:val="32"/>
        </w:rPr>
        <w:t>对于有后杀菌工艺的，灌装防护区可设在“准清洁作业区”，杀菌区可设在“一般作业区”。</w:t>
      </w:r>
    </w:p>
    <w:p>
      <w:pPr>
        <w:tabs>
          <w:tab w:val="left" w:pos="0"/>
          <w:tab w:val="left" w:pos="425"/>
        </w:tabs>
        <w:spacing w:line="578" w:lineRule="exact"/>
        <w:ind w:firstLine="640" w:firstLineChars="200"/>
        <w:jc w:val="left"/>
        <w:outlineLvl w:val="3"/>
        <w:rPr>
          <w:rFonts w:ascii="仿宋" w:hAnsi="仿宋" w:eastAsia="仿宋" w:cs="仿宋"/>
          <w:b w:val="0"/>
          <w:bCs w:val="0"/>
          <w:color w:val="000000"/>
          <w:sz w:val="32"/>
          <w:szCs w:val="32"/>
        </w:rPr>
      </w:pPr>
      <w:r>
        <w:rPr>
          <w:rFonts w:hint="eastAsia" w:ascii="仿宋" w:hAnsi="仿宋" w:eastAsia="仿宋" w:cs="仿宋"/>
          <w:b w:val="0"/>
          <w:bCs w:val="0"/>
          <w:color w:val="000000"/>
          <w:sz w:val="32"/>
          <w:szCs w:val="32"/>
        </w:rPr>
        <w:t>如生产非直接饮用产品或发酵后物料通过连续封闭式管道输送时，除上述表中 “清洁作业区”必须符合要求外，其他功能区可设在“一般作业区”。</w:t>
      </w:r>
    </w:p>
    <w:p>
      <w:pPr>
        <w:tabs>
          <w:tab w:val="left" w:pos="0"/>
          <w:tab w:val="left" w:pos="425"/>
        </w:tabs>
        <w:spacing w:line="578" w:lineRule="exact"/>
        <w:ind w:firstLine="643" w:firstLineChars="200"/>
        <w:outlineLvl w:val="3"/>
        <w:rPr>
          <w:rFonts w:ascii="仿宋" w:hAnsi="仿宋" w:eastAsia="仿宋" w:cs="仿宋"/>
          <w:b w:val="0"/>
          <w:bCs w:val="0"/>
          <w:sz w:val="32"/>
          <w:szCs w:val="32"/>
        </w:rPr>
      </w:pPr>
      <w:r>
        <w:rPr>
          <w:rFonts w:hint="eastAsia" w:ascii="仿宋" w:hAnsi="仿宋" w:eastAsia="仿宋" w:cs="仿宋"/>
          <w:b/>
          <w:bCs/>
          <w:kern w:val="0"/>
          <w:sz w:val="32"/>
          <w:szCs w:val="32"/>
        </w:rPr>
        <w:t>第六条</w:t>
      </w:r>
      <w:r>
        <w:rPr>
          <w:rFonts w:hint="eastAsia" w:ascii="仿宋" w:hAnsi="仿宋" w:eastAsia="仿宋" w:cs="仿宋"/>
          <w:b w:val="0"/>
          <w:bCs w:val="0"/>
          <w:sz w:val="32"/>
          <w:szCs w:val="32"/>
        </w:rPr>
        <w:t xml:space="preserve"> 清洁作业区出入应有合理的限制和控制，进入清洁作业区的原辅料、包装材料等应有清洁措施，清洁间进出两边的门应防止同时被开启，进入清洁作业区的空气经过滤满足清洁作业区的洁净度的要求。对于通过风动管道运输的原料或产品进入清洁作业区，需要设计和安装适当的空气过滤系统。</w:t>
      </w:r>
    </w:p>
    <w:p>
      <w:pPr>
        <w:tabs>
          <w:tab w:val="left" w:pos="0"/>
          <w:tab w:val="left" w:pos="425"/>
        </w:tabs>
        <w:spacing w:line="578" w:lineRule="exact"/>
        <w:ind w:firstLine="640" w:firstLineChars="200"/>
        <w:outlineLvl w:val="3"/>
        <w:rPr>
          <w:rFonts w:ascii="仿宋" w:hAnsi="仿宋" w:eastAsia="仿宋" w:cs="仿宋"/>
          <w:b w:val="0"/>
          <w:bCs w:val="0"/>
          <w:sz w:val="32"/>
          <w:szCs w:val="32"/>
        </w:rPr>
      </w:pPr>
      <w:r>
        <w:rPr>
          <w:rFonts w:hint="eastAsia" w:ascii="仿宋" w:hAnsi="仿宋" w:eastAsia="仿宋" w:cs="仿宋"/>
          <w:b w:val="0"/>
          <w:bCs w:val="0"/>
          <w:sz w:val="32"/>
          <w:szCs w:val="32"/>
        </w:rPr>
        <w:t>生产车间地面应平整、防滑、耐磨、无毒、耐腐蚀、不渗水、便于清洗。</w:t>
      </w:r>
    </w:p>
    <w:p>
      <w:pPr>
        <w:tabs>
          <w:tab w:val="left" w:pos="0"/>
          <w:tab w:val="left" w:pos="425"/>
        </w:tabs>
        <w:spacing w:line="578" w:lineRule="exact"/>
        <w:ind w:firstLine="640" w:firstLineChars="200"/>
        <w:outlineLvl w:val="3"/>
        <w:rPr>
          <w:rFonts w:ascii="仿宋" w:hAnsi="仿宋" w:eastAsia="仿宋" w:cs="仿宋"/>
          <w:b w:val="0"/>
          <w:bCs w:val="0"/>
          <w:sz w:val="32"/>
          <w:szCs w:val="32"/>
        </w:rPr>
      </w:pPr>
      <w:r>
        <w:rPr>
          <w:rFonts w:hint="eastAsia" w:ascii="仿宋" w:hAnsi="仿宋" w:eastAsia="仿宋" w:cs="仿宋"/>
          <w:b w:val="0"/>
          <w:bCs w:val="0"/>
          <w:sz w:val="32"/>
          <w:szCs w:val="32"/>
        </w:rPr>
        <w:t>准清洁区、清洁区的墙壁和屋顶应采用浅色、防潮、防腐蚀、防毒、防渗和不易脱落的无毒材料。</w:t>
      </w:r>
    </w:p>
    <w:p>
      <w:pPr>
        <w:tabs>
          <w:tab w:val="left" w:pos="0"/>
          <w:tab w:val="left" w:pos="425"/>
        </w:tabs>
        <w:spacing w:line="578" w:lineRule="exact"/>
        <w:ind w:firstLine="640" w:firstLineChars="200"/>
        <w:outlineLvl w:val="3"/>
        <w:rPr>
          <w:rFonts w:ascii="仿宋" w:hAnsi="仿宋" w:eastAsia="仿宋" w:cs="仿宋"/>
          <w:b w:val="0"/>
          <w:bCs w:val="0"/>
          <w:sz w:val="32"/>
          <w:szCs w:val="32"/>
        </w:rPr>
      </w:pPr>
      <w:r>
        <w:rPr>
          <w:rFonts w:hint="eastAsia" w:ascii="仿宋" w:hAnsi="仿宋" w:eastAsia="仿宋" w:cs="仿宋"/>
          <w:b w:val="0"/>
          <w:bCs w:val="0"/>
          <w:sz w:val="32"/>
          <w:szCs w:val="32"/>
        </w:rPr>
        <w:t>不得采用甲醛、高锰酸钾熏蒸方式对环境场所进行消毒杀菌。</w:t>
      </w:r>
    </w:p>
    <w:p>
      <w:pPr>
        <w:tabs>
          <w:tab w:val="left" w:pos="0"/>
          <w:tab w:val="left" w:pos="425"/>
        </w:tabs>
        <w:spacing w:line="578" w:lineRule="exact"/>
        <w:ind w:firstLine="643" w:firstLineChars="200"/>
        <w:outlineLvl w:val="3"/>
        <w:rPr>
          <w:rFonts w:ascii="仿宋" w:hAnsi="仿宋" w:eastAsia="仿宋" w:cs="仿宋"/>
          <w:b w:val="0"/>
          <w:bCs w:val="0"/>
          <w:spacing w:val="4"/>
          <w:sz w:val="32"/>
          <w:szCs w:val="32"/>
        </w:rPr>
      </w:pPr>
      <w:r>
        <w:rPr>
          <w:rFonts w:hint="eastAsia" w:ascii="仿宋" w:hAnsi="仿宋" w:eastAsia="仿宋" w:cs="仿宋"/>
          <w:b/>
          <w:bCs/>
          <w:kern w:val="0"/>
          <w:sz w:val="32"/>
          <w:szCs w:val="32"/>
        </w:rPr>
        <w:t>第七条</w:t>
      </w:r>
      <w:r>
        <w:rPr>
          <w:rFonts w:hint="eastAsia" w:ascii="仿宋" w:hAnsi="仿宋" w:eastAsia="仿宋" w:cs="仿宋"/>
          <w:b w:val="0"/>
          <w:bCs w:val="0"/>
          <w:kern w:val="0"/>
          <w:sz w:val="32"/>
          <w:szCs w:val="32"/>
        </w:rPr>
        <w:t xml:space="preserve"> </w:t>
      </w:r>
      <w:r>
        <w:rPr>
          <w:rFonts w:hint="eastAsia" w:ascii="仿宋" w:hAnsi="仿宋" w:eastAsia="仿宋" w:cs="仿宋"/>
          <w:b w:val="0"/>
          <w:bCs w:val="0"/>
          <w:spacing w:val="4"/>
          <w:sz w:val="32"/>
          <w:szCs w:val="32"/>
        </w:rPr>
        <w:t>应具有与所生产产品的数量、贮存要求相适应的仓储设施，并有通风和照明设施，加工场所和其它场所工作面光泽和亮度应能满足生产和操作需要。必要时设有温、湿度控制设施（空调、冷库），满足物料或产品的贮存条件（如温湿度、避光）和安全贮存的要求。</w:t>
      </w:r>
    </w:p>
    <w:p>
      <w:pPr>
        <w:tabs>
          <w:tab w:val="left" w:pos="0"/>
          <w:tab w:val="left" w:pos="425"/>
        </w:tabs>
        <w:spacing w:line="578" w:lineRule="exact"/>
        <w:ind w:firstLine="643" w:firstLineChars="200"/>
        <w:outlineLvl w:val="3"/>
        <w:rPr>
          <w:rFonts w:ascii="仿宋" w:hAnsi="仿宋" w:eastAsia="仿宋" w:cs="仿宋"/>
          <w:b w:val="0"/>
          <w:bCs w:val="0"/>
          <w:sz w:val="32"/>
          <w:szCs w:val="32"/>
        </w:rPr>
      </w:pPr>
      <w:r>
        <w:rPr>
          <w:rFonts w:hint="eastAsia" w:ascii="仿宋" w:hAnsi="仿宋" w:eastAsia="仿宋" w:cs="仿宋"/>
          <w:b/>
          <w:bCs/>
          <w:kern w:val="0"/>
          <w:sz w:val="32"/>
          <w:szCs w:val="32"/>
        </w:rPr>
        <w:t>第八条</w:t>
      </w:r>
      <w:r>
        <w:rPr>
          <w:rFonts w:hint="eastAsia" w:ascii="仿宋" w:hAnsi="仿宋" w:eastAsia="仿宋" w:cs="仿宋"/>
          <w:b w:val="0"/>
          <w:bCs w:val="0"/>
          <w:sz w:val="32"/>
          <w:szCs w:val="32"/>
        </w:rPr>
        <w:t xml:space="preserve"> 应建立仓储管理制度，原料、半成品、成品、包装材料等应依据性质的不同分设贮存场所或分区域码放，并有明确标识，不得将原辅料、产品与有毒有害物品一同贮存，防止交叉污染。不合格、退货或召回的物料或产品应分区存放。清洁剂、消毒剂等应采用适宜的器具妥善保存，包装标识完整，应与原料、半成品、成品、包装材料等分隔放置。化学腐蚀性物品应专库存放，按危险品仓库有关要求管理。</w:t>
      </w:r>
    </w:p>
    <w:p>
      <w:pPr>
        <w:tabs>
          <w:tab w:val="left" w:pos="0"/>
          <w:tab w:val="left" w:pos="425"/>
        </w:tabs>
        <w:spacing w:line="578" w:lineRule="exact"/>
        <w:ind w:firstLine="643" w:firstLineChars="200"/>
        <w:outlineLvl w:val="3"/>
        <w:rPr>
          <w:rFonts w:ascii="仿宋" w:hAnsi="仿宋" w:eastAsia="仿宋" w:cs="仿宋"/>
          <w:b w:val="0"/>
          <w:bCs w:val="0"/>
          <w:sz w:val="32"/>
          <w:szCs w:val="32"/>
        </w:rPr>
      </w:pPr>
      <w:r>
        <w:rPr>
          <w:rFonts w:hint="eastAsia" w:ascii="仿宋" w:hAnsi="仿宋" w:eastAsia="仿宋" w:cs="仿宋"/>
          <w:b/>
          <w:bCs/>
          <w:kern w:val="0"/>
          <w:sz w:val="32"/>
          <w:szCs w:val="32"/>
        </w:rPr>
        <w:t>第九条</w:t>
      </w:r>
      <w:r>
        <w:rPr>
          <w:rFonts w:hint="eastAsia" w:ascii="仿宋" w:hAnsi="仿宋" w:eastAsia="仿宋" w:cs="仿宋"/>
          <w:b w:val="0"/>
          <w:bCs w:val="0"/>
          <w:sz w:val="32"/>
          <w:szCs w:val="32"/>
        </w:rPr>
        <w:t xml:space="preserve"> 食品添加剂应由专人负责</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设置专库并加锁</w:t>
      </w:r>
      <w:r>
        <w:rPr>
          <w:rFonts w:hint="eastAsia" w:ascii="仿宋" w:hAnsi="仿宋" w:eastAsia="仿宋" w:cs="仿宋"/>
          <w:b w:val="0"/>
          <w:bCs w:val="0"/>
          <w:sz w:val="32"/>
          <w:szCs w:val="32"/>
        </w:rPr>
        <w:t>存放，食品添加剂的使用范围和使用量应符合《食品安全国家标准食品添加剂使用标准》（GB 2760）的规定。</w:t>
      </w:r>
    </w:p>
    <w:p>
      <w:pPr>
        <w:tabs>
          <w:tab w:val="left" w:pos="8820"/>
        </w:tabs>
        <w:spacing w:before="240" w:line="578" w:lineRule="exact"/>
        <w:jc w:val="center"/>
        <w:rPr>
          <w:rFonts w:ascii="黑体" w:hAnsi="黑体" w:eastAsia="黑体" w:cs="仿宋"/>
          <w:b w:val="0"/>
          <w:bCs w:val="0"/>
          <w:kern w:val="0"/>
          <w:sz w:val="32"/>
          <w:szCs w:val="32"/>
        </w:rPr>
      </w:pPr>
      <w:bookmarkStart w:id="7" w:name="_Toc31569"/>
      <w:bookmarkStart w:id="8" w:name="_Toc416939952"/>
      <w:bookmarkStart w:id="9" w:name="_Toc415228665"/>
      <w:r>
        <w:rPr>
          <w:rFonts w:hint="eastAsia" w:ascii="黑体" w:hAnsi="黑体" w:eastAsia="黑体" w:cs="仿宋"/>
          <w:b w:val="0"/>
          <w:bCs w:val="0"/>
          <w:kern w:val="0"/>
          <w:sz w:val="32"/>
          <w:szCs w:val="32"/>
        </w:rPr>
        <w:t>第三章 设备设施</w:t>
      </w:r>
      <w:bookmarkEnd w:id="7"/>
      <w:bookmarkEnd w:id="8"/>
      <w:bookmarkEnd w:id="9"/>
      <w:bookmarkStart w:id="10" w:name="_Toc415228668"/>
    </w:p>
    <w:p>
      <w:pPr>
        <w:spacing w:line="578" w:lineRule="exact"/>
        <w:ind w:firstLine="643" w:firstLineChars="200"/>
        <w:outlineLvl w:val="3"/>
        <w:rPr>
          <w:rFonts w:ascii="仿宋" w:hAnsi="仿宋" w:eastAsia="仿宋" w:cs="仿宋"/>
          <w:b w:val="0"/>
          <w:bCs w:val="0"/>
          <w:color w:val="000000"/>
          <w:sz w:val="32"/>
          <w:szCs w:val="32"/>
        </w:rPr>
      </w:pPr>
      <w:r>
        <w:rPr>
          <w:rFonts w:hint="eastAsia" w:ascii="仿宋" w:hAnsi="仿宋" w:eastAsia="仿宋" w:cs="仿宋"/>
          <w:b/>
          <w:bCs/>
          <w:kern w:val="0"/>
          <w:sz w:val="32"/>
          <w:szCs w:val="32"/>
        </w:rPr>
        <w:t>第十条</w:t>
      </w:r>
      <w:r>
        <w:rPr>
          <w:rFonts w:hint="eastAsia" w:ascii="仿宋" w:hAnsi="仿宋" w:eastAsia="仿宋" w:cs="仿宋"/>
          <w:b w:val="0"/>
          <w:bCs w:val="0"/>
          <w:color w:val="000000"/>
          <w:sz w:val="32"/>
          <w:szCs w:val="32"/>
        </w:rPr>
        <w:t xml:space="preserve"> 企业应具有与</w:t>
      </w:r>
      <w:r>
        <w:rPr>
          <w:rFonts w:hint="eastAsia" w:ascii="仿宋" w:hAnsi="仿宋" w:eastAsia="仿宋" w:cs="仿宋"/>
          <w:b w:val="0"/>
          <w:bCs w:val="0"/>
          <w:sz w:val="32"/>
          <w:szCs w:val="32"/>
        </w:rPr>
        <w:t>申报品种相</w:t>
      </w:r>
      <w:r>
        <w:rPr>
          <w:rFonts w:hint="eastAsia" w:ascii="仿宋" w:hAnsi="仿宋" w:eastAsia="仿宋" w:cs="仿宋"/>
          <w:b w:val="0"/>
          <w:bCs w:val="0"/>
          <w:color w:val="000000"/>
          <w:sz w:val="32"/>
          <w:szCs w:val="32"/>
        </w:rPr>
        <w:t>适应的生产设备设施，各个设备的设计产能应能相互匹配，其性能与精密度应符合生产要求，便于操作、清洁、维护和消毒或灭菌。</w:t>
      </w:r>
    </w:p>
    <w:p>
      <w:pPr>
        <w:spacing w:line="578" w:lineRule="exact"/>
        <w:ind w:left="2" w:leftChars="1" w:firstLine="643" w:firstLineChars="200"/>
        <w:outlineLvl w:val="3"/>
        <w:rPr>
          <w:rFonts w:ascii="仿宋" w:hAnsi="仿宋" w:eastAsia="仿宋" w:cs="仿宋"/>
          <w:b w:val="0"/>
          <w:bCs w:val="0"/>
          <w:color w:val="000000"/>
          <w:sz w:val="32"/>
          <w:szCs w:val="32"/>
        </w:rPr>
      </w:pPr>
      <w:r>
        <w:rPr>
          <w:rFonts w:hint="eastAsia" w:ascii="仿宋" w:hAnsi="仿宋" w:eastAsia="仿宋" w:cs="仿宋"/>
          <w:b/>
          <w:bCs/>
          <w:kern w:val="0"/>
          <w:sz w:val="32"/>
          <w:szCs w:val="32"/>
        </w:rPr>
        <w:t>第十一条</w:t>
      </w:r>
      <w:r>
        <w:rPr>
          <w:rFonts w:hint="eastAsia" w:ascii="仿宋" w:hAnsi="仿宋" w:eastAsia="仿宋" w:cs="仿宋"/>
          <w:b w:val="0"/>
          <w:bCs w:val="0"/>
          <w:color w:val="000000"/>
          <w:sz w:val="32"/>
          <w:szCs w:val="32"/>
        </w:rPr>
        <w:t xml:space="preserve"> 与原料、半成品、成品接触的设备与用具，应使用无毒、无味、抗腐蚀、不渗水、不易脱落的材料制作，并应易于清洁和保养。</w:t>
      </w:r>
    </w:p>
    <w:p>
      <w:pPr>
        <w:spacing w:line="578" w:lineRule="exact"/>
        <w:ind w:left="2" w:leftChars="1" w:firstLine="640" w:firstLineChars="200"/>
        <w:outlineLvl w:val="3"/>
        <w:rPr>
          <w:rFonts w:ascii="仿宋" w:hAnsi="仿宋" w:eastAsia="仿宋" w:cs="仿宋"/>
          <w:b w:val="0"/>
          <w:bCs w:val="0"/>
          <w:color w:val="000000"/>
          <w:sz w:val="32"/>
          <w:szCs w:val="32"/>
        </w:rPr>
      </w:pPr>
      <w:r>
        <w:rPr>
          <w:rFonts w:hint="eastAsia" w:ascii="仿宋" w:hAnsi="仿宋" w:eastAsia="仿宋" w:cs="仿宋"/>
          <w:b w:val="0"/>
          <w:bCs w:val="0"/>
          <w:color w:val="000000"/>
          <w:sz w:val="32"/>
          <w:szCs w:val="32"/>
        </w:rPr>
        <w:t>设备、工器具等与食品接触的表面应使用光滑、无吸收性、易于清洁保养和消毒的材料制成，在正常生产条件下不会与食品、清洁剂和消毒剂发生反应，并应保存完好无损。</w:t>
      </w:r>
    </w:p>
    <w:p>
      <w:pPr>
        <w:spacing w:line="578" w:lineRule="exact"/>
        <w:ind w:left="2" w:leftChars="1" w:firstLine="643" w:firstLineChars="200"/>
        <w:outlineLvl w:val="3"/>
        <w:rPr>
          <w:rFonts w:ascii="仿宋" w:hAnsi="仿宋" w:eastAsia="仿宋" w:cs="仿宋"/>
          <w:b w:val="0"/>
          <w:bCs w:val="0"/>
          <w:color w:val="000000"/>
          <w:sz w:val="32"/>
          <w:szCs w:val="32"/>
        </w:rPr>
      </w:pPr>
      <w:r>
        <w:rPr>
          <w:rFonts w:hint="eastAsia" w:ascii="仿宋" w:hAnsi="仿宋" w:eastAsia="仿宋" w:cs="仿宋"/>
          <w:b/>
          <w:bCs/>
          <w:kern w:val="0"/>
          <w:sz w:val="32"/>
          <w:szCs w:val="32"/>
        </w:rPr>
        <w:t>第十二条</w:t>
      </w:r>
      <w:r>
        <w:rPr>
          <w:rFonts w:hint="eastAsia" w:ascii="仿宋" w:hAnsi="仿宋" w:eastAsia="仿宋" w:cs="仿宋"/>
          <w:b w:val="0"/>
          <w:bCs w:val="0"/>
          <w:color w:val="000000"/>
          <w:sz w:val="32"/>
          <w:szCs w:val="32"/>
        </w:rPr>
        <w:t xml:space="preserve"> 主要的固定管道设施应标明内容物名称和流向。用于测定、控制、记录的监控设备，如压力表、温度计等，应定期校准、维护，确保准确有效。</w:t>
      </w:r>
    </w:p>
    <w:p>
      <w:pPr>
        <w:spacing w:line="578" w:lineRule="exact"/>
        <w:ind w:left="2" w:leftChars="1" w:firstLine="643" w:firstLineChars="200"/>
        <w:outlineLvl w:val="3"/>
        <w:rPr>
          <w:rFonts w:ascii="仿宋" w:hAnsi="仿宋" w:eastAsia="仿宋" w:cs="仿宋"/>
          <w:b w:val="0"/>
          <w:bCs w:val="0"/>
          <w:color w:val="000000"/>
          <w:sz w:val="32"/>
          <w:szCs w:val="32"/>
        </w:rPr>
      </w:pPr>
      <w:r>
        <w:rPr>
          <w:rFonts w:hint="eastAsia" w:ascii="仿宋" w:hAnsi="仿宋" w:eastAsia="仿宋" w:cs="仿宋"/>
          <w:b/>
          <w:bCs/>
          <w:kern w:val="0"/>
          <w:sz w:val="32"/>
          <w:szCs w:val="32"/>
        </w:rPr>
        <w:t>第十三条</w:t>
      </w:r>
      <w:r>
        <w:rPr>
          <w:rFonts w:hint="eastAsia" w:ascii="仿宋" w:hAnsi="仿宋" w:eastAsia="仿宋" w:cs="仿宋"/>
          <w:b w:val="0"/>
          <w:bCs w:val="0"/>
          <w:color w:val="000000"/>
          <w:sz w:val="32"/>
          <w:szCs w:val="32"/>
        </w:rPr>
        <w:t xml:space="preserve"> 生产用水</w:t>
      </w:r>
      <w:r>
        <w:rPr>
          <w:rFonts w:hint="eastAsia" w:ascii="仿宋" w:hAnsi="仿宋" w:eastAsia="仿宋" w:cs="仿宋"/>
          <w:b w:val="0"/>
          <w:bCs w:val="0"/>
          <w:color w:val="000000"/>
          <w:sz w:val="32"/>
          <w:szCs w:val="32"/>
          <w:lang w:val="en-US" w:eastAsia="zh-CN"/>
        </w:rPr>
        <w:t>包括生活饮用水和纯化水，生产用水应当符合生产工艺及相关技术要求。</w:t>
      </w:r>
    </w:p>
    <w:p>
      <w:pPr>
        <w:spacing w:line="578" w:lineRule="exact"/>
        <w:ind w:firstLine="643" w:firstLineChars="200"/>
        <w:rPr>
          <w:rFonts w:ascii="仿宋" w:hAnsi="仿宋" w:eastAsia="仿宋" w:cs="仿宋"/>
          <w:b w:val="0"/>
          <w:bCs w:val="0"/>
          <w:color w:val="000000"/>
          <w:sz w:val="32"/>
          <w:szCs w:val="32"/>
        </w:rPr>
      </w:pPr>
      <w:r>
        <w:rPr>
          <w:rFonts w:hint="eastAsia" w:ascii="仿宋" w:hAnsi="仿宋" w:eastAsia="仿宋" w:cs="仿宋"/>
          <w:b/>
          <w:bCs/>
          <w:kern w:val="0"/>
          <w:sz w:val="32"/>
          <w:szCs w:val="32"/>
        </w:rPr>
        <w:t>第十四条</w:t>
      </w:r>
      <w:r>
        <w:rPr>
          <w:rFonts w:hint="eastAsia" w:ascii="仿宋" w:hAnsi="仿宋" w:eastAsia="仿宋" w:cs="仿宋"/>
          <w:b w:val="0"/>
          <w:bCs w:val="0"/>
          <w:color w:val="000000"/>
          <w:sz w:val="32"/>
          <w:szCs w:val="32"/>
        </w:rPr>
        <w:t xml:space="preserve"> 室内排水的流向应由清洁程度要求高的区域流向清洁程度要求低的区域，且应有防止逆流的设计。污水在排放前应经适当方式处理，以符合国家污水排放的相关规定。</w:t>
      </w:r>
    </w:p>
    <w:p>
      <w:pPr>
        <w:tabs>
          <w:tab w:val="left" w:pos="0"/>
          <w:tab w:val="left" w:pos="425"/>
        </w:tabs>
        <w:spacing w:line="578" w:lineRule="exact"/>
        <w:ind w:firstLine="643" w:firstLineChars="200"/>
        <w:outlineLvl w:val="3"/>
        <w:rPr>
          <w:rFonts w:ascii="仿宋" w:hAnsi="仿宋" w:eastAsia="仿宋" w:cs="仿宋"/>
          <w:b w:val="0"/>
          <w:bCs w:val="0"/>
          <w:color w:val="000000"/>
          <w:sz w:val="32"/>
          <w:szCs w:val="32"/>
        </w:rPr>
      </w:pPr>
      <w:r>
        <w:rPr>
          <w:rFonts w:hint="eastAsia" w:ascii="仿宋" w:hAnsi="仿宋" w:eastAsia="仿宋" w:cs="仿宋"/>
          <w:b/>
          <w:bCs/>
          <w:kern w:val="0"/>
          <w:sz w:val="32"/>
          <w:szCs w:val="32"/>
        </w:rPr>
        <w:t>第十五条</w:t>
      </w:r>
      <w:r>
        <w:rPr>
          <w:rFonts w:hint="eastAsia" w:ascii="仿宋" w:hAnsi="仿宋" w:eastAsia="仿宋" w:cs="仿宋"/>
          <w:b w:val="0"/>
          <w:bCs w:val="0"/>
          <w:color w:val="000000"/>
          <w:sz w:val="32"/>
          <w:szCs w:val="32"/>
        </w:rPr>
        <w:t xml:space="preserve"> 应配备设计合理、防止渗漏、易于清洁的存放废弃物的专用设施，废弃物定期清除。</w:t>
      </w:r>
    </w:p>
    <w:p>
      <w:pPr>
        <w:spacing w:line="578" w:lineRule="exact"/>
        <w:ind w:left="2" w:leftChars="1" w:firstLine="643" w:firstLineChars="200"/>
        <w:outlineLvl w:val="3"/>
        <w:rPr>
          <w:rFonts w:ascii="仿宋" w:hAnsi="仿宋" w:eastAsia="仿宋" w:cs="仿宋"/>
          <w:b w:val="0"/>
          <w:bCs w:val="0"/>
          <w:sz w:val="32"/>
          <w:szCs w:val="32"/>
        </w:rPr>
      </w:pPr>
      <w:r>
        <w:rPr>
          <w:rFonts w:hint="eastAsia" w:ascii="仿宋" w:hAnsi="仿宋" w:eastAsia="仿宋" w:cs="仿宋"/>
          <w:b/>
          <w:bCs/>
          <w:kern w:val="0"/>
          <w:sz w:val="32"/>
          <w:szCs w:val="32"/>
        </w:rPr>
        <w:t>第十六条</w:t>
      </w:r>
      <w:r>
        <w:rPr>
          <w:rFonts w:hint="eastAsia" w:ascii="仿宋" w:hAnsi="仿宋" w:eastAsia="仿宋" w:cs="仿宋"/>
          <w:b w:val="0"/>
          <w:bCs w:val="0"/>
          <w:sz w:val="32"/>
          <w:szCs w:val="32"/>
        </w:rPr>
        <w:t xml:space="preserve"> 更衣室及洗手消毒室应设在车间入口处，洗手消毒室内应配置足够数量的非手动式洗手设施、消毒设施和感应式干手设施,更衣室应设置换鞋（穿戴鞋套）或工作鞋靴消毒设施。</w:t>
      </w:r>
    </w:p>
    <w:p>
      <w:pPr>
        <w:spacing w:line="578" w:lineRule="exact"/>
        <w:ind w:left="2" w:leftChars="1" w:firstLine="643" w:firstLineChars="200"/>
        <w:outlineLvl w:val="3"/>
        <w:rPr>
          <w:rFonts w:ascii="仿宋" w:hAnsi="仿宋" w:eastAsia="仿宋" w:cs="仿宋"/>
          <w:b w:val="0"/>
          <w:bCs w:val="0"/>
          <w:sz w:val="32"/>
          <w:szCs w:val="32"/>
        </w:rPr>
      </w:pPr>
      <w:r>
        <w:rPr>
          <w:rFonts w:hint="eastAsia" w:ascii="仿宋" w:hAnsi="仿宋" w:eastAsia="仿宋" w:cs="仿宋"/>
          <w:b/>
          <w:bCs/>
          <w:kern w:val="0"/>
          <w:sz w:val="32"/>
          <w:szCs w:val="32"/>
        </w:rPr>
        <w:t>第十七条</w:t>
      </w:r>
      <w:r>
        <w:rPr>
          <w:rFonts w:hint="eastAsia" w:ascii="仿宋" w:hAnsi="仿宋" w:eastAsia="仿宋" w:cs="仿宋"/>
          <w:b w:val="0"/>
          <w:bCs w:val="0"/>
          <w:sz w:val="32"/>
          <w:szCs w:val="32"/>
        </w:rPr>
        <w:t xml:space="preserve"> 清洁作业区的入口应设置</w:t>
      </w:r>
      <w:r>
        <w:rPr>
          <w:rFonts w:hint="default" w:ascii="仿宋" w:hAnsi="仿宋" w:eastAsia="仿宋" w:cs="仿宋"/>
          <w:b w:val="0"/>
          <w:bCs w:val="0"/>
          <w:sz w:val="32"/>
          <w:szCs w:val="32"/>
          <w:lang w:val="en-US"/>
        </w:rPr>
        <w:t>二次</w:t>
      </w:r>
      <w:r>
        <w:rPr>
          <w:rFonts w:hint="eastAsia" w:ascii="仿宋" w:hAnsi="仿宋" w:eastAsia="仿宋" w:cs="仿宋"/>
          <w:b w:val="0"/>
          <w:bCs w:val="0"/>
          <w:sz w:val="32"/>
          <w:szCs w:val="32"/>
        </w:rPr>
        <w:t>更衣室，并有防止交叉污染的措施，应设置阻拦式鞋柜、独立洁净服存放柜、洗手消毒设施等。</w:t>
      </w:r>
    </w:p>
    <w:p>
      <w:pPr>
        <w:spacing w:line="578" w:lineRule="exact"/>
        <w:ind w:left="2" w:leftChars="1" w:firstLine="640" w:firstLineChars="200"/>
        <w:outlineLvl w:val="3"/>
        <w:rPr>
          <w:rFonts w:ascii="仿宋" w:hAnsi="仿宋" w:eastAsia="仿宋" w:cs="仿宋"/>
          <w:b w:val="0"/>
          <w:bCs w:val="0"/>
          <w:sz w:val="32"/>
          <w:szCs w:val="32"/>
        </w:rPr>
      </w:pPr>
      <w:r>
        <w:rPr>
          <w:rFonts w:hint="eastAsia" w:ascii="仿宋" w:hAnsi="仿宋" w:eastAsia="仿宋" w:cs="仿宋"/>
          <w:b w:val="0"/>
          <w:bCs w:val="0"/>
          <w:sz w:val="32"/>
          <w:szCs w:val="32"/>
        </w:rPr>
        <w:t>符合下列条件之一的，可豁免上述要求：使用自带洁净室及洁净环境自动恢复功能的灌装设备；使用灌装和封盖（封口）都在无菌密闭环境下进行的灌装设备。</w:t>
      </w:r>
    </w:p>
    <w:p>
      <w:pPr>
        <w:spacing w:line="578" w:lineRule="exact"/>
        <w:ind w:left="2" w:leftChars="1" w:firstLine="643" w:firstLineChars="200"/>
        <w:outlineLvl w:val="3"/>
        <w:rPr>
          <w:rFonts w:hint="default" w:ascii="仿宋" w:hAnsi="仿宋" w:eastAsia="仿宋" w:cs="仿宋"/>
          <w:b w:val="0"/>
          <w:bCs w:val="0"/>
          <w:sz w:val="32"/>
          <w:szCs w:val="32"/>
          <w:lang w:val="en-US" w:eastAsia="zh-CN"/>
        </w:rPr>
      </w:pPr>
      <w:r>
        <w:rPr>
          <w:rFonts w:hint="eastAsia" w:ascii="仿宋" w:hAnsi="仿宋" w:eastAsia="仿宋" w:cs="仿宋"/>
          <w:b/>
          <w:bCs/>
          <w:kern w:val="0"/>
          <w:sz w:val="32"/>
          <w:szCs w:val="32"/>
        </w:rPr>
        <w:t>第十八条</w:t>
      </w:r>
      <w:r>
        <w:rPr>
          <w:rFonts w:hint="eastAsia" w:ascii="仿宋" w:hAnsi="仿宋" w:eastAsia="仿宋" w:cs="仿宋"/>
          <w:b w:val="0"/>
          <w:bCs w:val="0"/>
          <w:sz w:val="32"/>
          <w:szCs w:val="32"/>
        </w:rPr>
        <w:t xml:space="preserve"> 清洁作业区的员工工作服应为洁净服或一次性工作服，并配备帽子、口罩和工作鞋，要保持工作服使用前后相互分离。准清洁作业区、一般作业区的员工工作服应符合相应区域卫生要求，并配备帽子和工作鞋。</w:t>
      </w:r>
      <w:bookmarkStart w:id="11" w:name="_Toc1706"/>
      <w:r>
        <w:rPr>
          <w:rFonts w:hint="eastAsia" w:ascii="仿宋" w:hAnsi="仿宋" w:eastAsia="仿宋" w:cs="仿宋"/>
          <w:b w:val="0"/>
          <w:bCs w:val="0"/>
          <w:sz w:val="32"/>
          <w:szCs w:val="32"/>
          <w:lang w:val="en-US" w:eastAsia="zh-CN"/>
        </w:rPr>
        <w:t>不同清洁作业区的工作服应从颜色、标识上加以明显区分并分开清洗。</w:t>
      </w:r>
    </w:p>
    <w:p>
      <w:pPr>
        <w:spacing w:line="578" w:lineRule="exact"/>
        <w:ind w:left="2" w:leftChars="1" w:firstLine="643" w:firstLineChars="200"/>
        <w:outlineLvl w:val="3"/>
        <w:rPr>
          <w:rFonts w:ascii="仿宋" w:hAnsi="仿宋" w:eastAsia="仿宋" w:cs="仿宋"/>
          <w:b w:val="0"/>
          <w:bCs w:val="0"/>
          <w:kern w:val="0"/>
          <w:sz w:val="32"/>
          <w:szCs w:val="32"/>
        </w:rPr>
      </w:pPr>
      <w:r>
        <w:rPr>
          <w:rFonts w:hint="eastAsia" w:ascii="仿宋" w:hAnsi="仿宋" w:eastAsia="仿宋" w:cs="仿宋"/>
          <w:b/>
          <w:bCs/>
          <w:kern w:val="0"/>
          <w:sz w:val="32"/>
          <w:szCs w:val="32"/>
        </w:rPr>
        <w:t>第十九条</w:t>
      </w:r>
      <w:r>
        <w:rPr>
          <w:rFonts w:hint="eastAsia" w:ascii="仿宋" w:hAnsi="仿宋" w:eastAsia="仿宋" w:cs="仿宋"/>
          <w:b w:val="0"/>
          <w:bCs w:val="0"/>
          <w:kern w:val="0"/>
          <w:sz w:val="32"/>
          <w:szCs w:val="32"/>
        </w:rPr>
        <w:t xml:space="preserve"> </w:t>
      </w:r>
      <w:r>
        <w:rPr>
          <w:rFonts w:ascii="仿宋" w:hAnsi="仿宋" w:eastAsia="仿宋" w:cs="仿宋"/>
          <w:b w:val="0"/>
          <w:bCs w:val="0"/>
          <w:kern w:val="0"/>
          <w:sz w:val="32"/>
          <w:szCs w:val="32"/>
        </w:rPr>
        <w:t>准清洁作业区和清洁作业区应相对密闭，清洁作业区应设有空气处理装置和空气消毒设施。</w:t>
      </w:r>
      <w:r>
        <w:rPr>
          <w:rFonts w:hint="eastAsia" w:ascii="仿宋" w:hAnsi="仿宋" w:eastAsia="仿宋" w:cs="仿宋"/>
          <w:b w:val="0"/>
          <w:bCs w:val="0"/>
          <w:kern w:val="0"/>
          <w:sz w:val="32"/>
          <w:szCs w:val="32"/>
        </w:rPr>
        <w:t>清洁作业区应满足相应空气洁净度要求。静态时空气洁净度应至少达到10万级要求。</w:t>
      </w:r>
    </w:p>
    <w:p>
      <w:pPr>
        <w:spacing w:line="578" w:lineRule="exact"/>
        <w:ind w:firstLine="643" w:firstLineChars="200"/>
        <w:rPr>
          <w:rFonts w:ascii="仿宋" w:hAnsi="仿宋" w:eastAsia="仿宋" w:cs="仿宋"/>
          <w:b w:val="0"/>
          <w:bCs w:val="0"/>
          <w:sz w:val="32"/>
          <w:szCs w:val="32"/>
        </w:rPr>
      </w:pPr>
      <w:r>
        <w:rPr>
          <w:rFonts w:hint="eastAsia" w:ascii="仿宋" w:hAnsi="仿宋" w:eastAsia="仿宋" w:cs="仿宋"/>
          <w:b/>
          <w:bCs/>
          <w:kern w:val="0"/>
          <w:sz w:val="32"/>
          <w:szCs w:val="32"/>
        </w:rPr>
        <w:t>第二十条</w:t>
      </w:r>
      <w:r>
        <w:rPr>
          <w:rFonts w:hint="eastAsia" w:ascii="仿宋" w:hAnsi="仿宋" w:eastAsia="仿宋" w:cs="仿宋"/>
          <w:b w:val="0"/>
          <w:bCs w:val="0"/>
          <w:sz w:val="32"/>
          <w:szCs w:val="32"/>
        </w:rPr>
        <w:t xml:space="preserve"> 在有粉尘产生而有可能污染食品的区域，应有适当的除尘装置。通风口必须装有易清洗耐腐蚀网罩。</w:t>
      </w:r>
    </w:p>
    <w:p>
      <w:pPr>
        <w:spacing w:line="578" w:lineRule="exact"/>
        <w:ind w:firstLine="643" w:firstLineChars="200"/>
        <w:rPr>
          <w:rFonts w:ascii="仿宋" w:hAnsi="仿宋" w:eastAsia="仿宋" w:cs="仿宋"/>
          <w:b w:val="0"/>
          <w:bCs w:val="0"/>
          <w:kern w:val="0"/>
          <w:sz w:val="32"/>
          <w:szCs w:val="32"/>
        </w:rPr>
      </w:pPr>
      <w:r>
        <w:rPr>
          <w:rFonts w:hint="eastAsia" w:ascii="仿宋" w:hAnsi="仿宋" w:eastAsia="仿宋" w:cs="仿宋"/>
          <w:b/>
          <w:bCs/>
          <w:kern w:val="0"/>
          <w:sz w:val="32"/>
          <w:szCs w:val="32"/>
        </w:rPr>
        <w:t>第二十一条</w:t>
      </w:r>
      <w:r>
        <w:rPr>
          <w:rFonts w:hint="eastAsia" w:ascii="仿宋" w:hAnsi="仿宋" w:eastAsia="仿宋" w:cs="仿宋"/>
          <w:b w:val="0"/>
          <w:bCs w:val="0"/>
          <w:color w:val="000000"/>
          <w:sz w:val="32"/>
          <w:szCs w:val="32"/>
        </w:rPr>
        <w:t xml:space="preserve"> 检验设备一般应具有：pH计、无菌室（或超净工作台）、灭菌设备、微生物培养箱、干燥箱、水浴锅、0.1mg精度分析天平、0.1g精度天平，根据出厂检验的特定生物活性成分指标项目，还应配备相应的设备及相关的计量器具等。</w:t>
      </w:r>
    </w:p>
    <w:p>
      <w:pPr>
        <w:pStyle w:val="17"/>
        <w:spacing w:line="578" w:lineRule="exact"/>
        <w:ind w:firstLine="643"/>
        <w:rPr>
          <w:rFonts w:ascii="仿宋" w:hAnsi="仿宋" w:eastAsia="仿宋" w:cs="仿宋"/>
          <w:b w:val="0"/>
          <w:bCs w:val="0"/>
          <w:color w:val="000000"/>
          <w:sz w:val="32"/>
          <w:szCs w:val="32"/>
        </w:rPr>
      </w:pPr>
      <w:r>
        <w:rPr>
          <w:rFonts w:hint="eastAsia" w:ascii="仿宋" w:hAnsi="仿宋" w:eastAsia="仿宋" w:cs="仿宋"/>
          <w:b/>
          <w:bCs/>
          <w:sz w:val="32"/>
          <w:szCs w:val="32"/>
        </w:rPr>
        <w:t>第二十二条</w:t>
      </w:r>
      <w:r>
        <w:rPr>
          <w:rFonts w:hint="eastAsia" w:ascii="仿宋" w:hAnsi="仿宋" w:eastAsia="仿宋" w:cs="仿宋"/>
          <w:b w:val="0"/>
          <w:bCs w:val="0"/>
          <w:sz w:val="32"/>
          <w:szCs w:val="32"/>
        </w:rPr>
        <w:t xml:space="preserve"> 检验设备的数量应与企业生产能力相适应，精度应满足检验需要。检验仪器设备和检验用计量器具应按照相关规定定期进行校验。</w:t>
      </w:r>
    </w:p>
    <w:p>
      <w:pPr>
        <w:tabs>
          <w:tab w:val="left" w:pos="8820"/>
        </w:tabs>
        <w:spacing w:before="240" w:line="578" w:lineRule="exact"/>
        <w:jc w:val="center"/>
        <w:rPr>
          <w:rFonts w:ascii="黑体" w:hAnsi="黑体" w:eastAsia="黑体" w:cs="仿宋"/>
          <w:b w:val="0"/>
          <w:bCs w:val="0"/>
          <w:color w:val="000000"/>
          <w:sz w:val="32"/>
          <w:szCs w:val="32"/>
        </w:rPr>
      </w:pPr>
      <w:r>
        <w:rPr>
          <w:rFonts w:hint="eastAsia" w:ascii="黑体" w:hAnsi="黑体" w:eastAsia="黑体" w:cs="仿宋"/>
          <w:b w:val="0"/>
          <w:bCs w:val="0"/>
          <w:kern w:val="0"/>
          <w:sz w:val="32"/>
          <w:szCs w:val="32"/>
        </w:rPr>
        <w:t>第四章 设备布局与工艺流程</w:t>
      </w:r>
    </w:p>
    <w:bookmarkEnd w:id="11"/>
    <w:p>
      <w:pPr>
        <w:spacing w:line="578" w:lineRule="exact"/>
        <w:ind w:left="2" w:leftChars="1" w:firstLine="643" w:firstLineChars="200"/>
        <w:outlineLvl w:val="3"/>
        <w:rPr>
          <w:rFonts w:ascii="仿宋" w:hAnsi="仿宋" w:eastAsia="仿宋" w:cs="仿宋"/>
          <w:b w:val="0"/>
          <w:bCs w:val="0"/>
          <w:color w:val="000000"/>
          <w:sz w:val="32"/>
          <w:szCs w:val="32"/>
        </w:rPr>
      </w:pPr>
      <w:r>
        <w:rPr>
          <w:rFonts w:hint="eastAsia" w:ascii="仿宋" w:hAnsi="仿宋" w:eastAsia="仿宋" w:cs="仿宋"/>
          <w:b/>
          <w:bCs/>
          <w:kern w:val="0"/>
          <w:sz w:val="32"/>
          <w:szCs w:val="32"/>
        </w:rPr>
        <w:t>第二十三条</w:t>
      </w:r>
      <w:r>
        <w:rPr>
          <w:rFonts w:hint="eastAsia" w:ascii="仿宋" w:hAnsi="仿宋" w:eastAsia="仿宋" w:cs="仿宋"/>
          <w:b w:val="0"/>
          <w:bCs w:val="0"/>
          <w:color w:val="000000"/>
          <w:sz w:val="32"/>
          <w:szCs w:val="32"/>
        </w:rPr>
        <w:t xml:space="preserve"> 生产设备的布局、安装和维护必须符合工艺需要，便于操作、清洁、维护和消毒或灭菌。不合格、报废设备应搬出生产区，暂停使用的设备应有明显标志。</w:t>
      </w:r>
    </w:p>
    <w:p>
      <w:pPr>
        <w:autoSpaceDN w:val="0"/>
        <w:spacing w:line="578" w:lineRule="exact"/>
        <w:ind w:firstLine="643" w:firstLineChars="200"/>
        <w:jc w:val="left"/>
        <w:textAlignment w:val="center"/>
        <w:outlineLvl w:val="3"/>
        <w:rPr>
          <w:rFonts w:ascii="仿宋" w:hAnsi="仿宋" w:eastAsia="仿宋" w:cs="仿宋"/>
          <w:b w:val="0"/>
          <w:bCs w:val="0"/>
          <w:sz w:val="32"/>
          <w:szCs w:val="32"/>
        </w:rPr>
      </w:pPr>
      <w:r>
        <w:rPr>
          <w:rFonts w:hint="eastAsia" w:ascii="仿宋" w:hAnsi="仿宋" w:eastAsia="仿宋" w:cs="仿宋"/>
          <w:b/>
          <w:bCs/>
          <w:kern w:val="0"/>
          <w:sz w:val="32"/>
          <w:szCs w:val="32"/>
        </w:rPr>
        <w:t>第二十四条</w:t>
      </w:r>
      <w:r>
        <w:rPr>
          <w:rFonts w:hint="eastAsia" w:ascii="仿宋" w:hAnsi="仿宋" w:eastAsia="仿宋" w:cs="仿宋"/>
          <w:b w:val="0"/>
          <w:bCs w:val="0"/>
          <w:sz w:val="32"/>
          <w:szCs w:val="32"/>
        </w:rPr>
        <w:t xml:space="preserve"> 生产设备的配备应与产品加工工艺相符，如果企业采用不同于下表中所列的工艺，应具备与生产工艺相适应的生产设备。</w:t>
      </w:r>
    </w:p>
    <w:p>
      <w:pPr>
        <w:autoSpaceDN w:val="0"/>
        <w:spacing w:line="578" w:lineRule="exact"/>
        <w:ind w:firstLine="640" w:firstLineChars="200"/>
        <w:jc w:val="left"/>
        <w:textAlignment w:val="center"/>
        <w:outlineLvl w:val="3"/>
        <w:rPr>
          <w:rFonts w:ascii="仿宋" w:hAnsi="仿宋" w:eastAsia="仿宋" w:cs="仿宋"/>
          <w:b w:val="0"/>
          <w:bCs w:val="0"/>
          <w:sz w:val="32"/>
          <w:szCs w:val="32"/>
        </w:rPr>
      </w:pPr>
      <w:r>
        <w:rPr>
          <w:rFonts w:hint="eastAsia" w:ascii="仿宋" w:hAnsi="仿宋" w:eastAsia="仿宋" w:cs="仿宋"/>
          <w:b w:val="0"/>
          <w:bCs w:val="0"/>
          <w:sz w:val="32"/>
          <w:szCs w:val="32"/>
        </w:rPr>
        <w:t>应根据工艺需要配备包装容器清洁消毒设施，如使用周转容器生产，应配备周转容器的清洗消毒设施。</w:t>
      </w:r>
    </w:p>
    <w:p>
      <w:pPr>
        <w:autoSpaceDN w:val="0"/>
        <w:spacing w:line="578" w:lineRule="exact"/>
        <w:ind w:firstLine="640" w:firstLineChars="200"/>
        <w:jc w:val="left"/>
        <w:textAlignment w:val="center"/>
        <w:outlineLvl w:val="3"/>
        <w:rPr>
          <w:rFonts w:ascii="仿宋" w:hAnsi="仿宋" w:eastAsia="仿宋" w:cs="仿宋"/>
          <w:b w:val="0"/>
          <w:bCs w:val="0"/>
          <w:sz w:val="32"/>
          <w:szCs w:val="32"/>
        </w:rPr>
      </w:pPr>
      <w:r>
        <w:rPr>
          <w:rFonts w:hint="eastAsia" w:ascii="仿宋" w:hAnsi="仿宋" w:eastAsia="仿宋" w:cs="仿宋"/>
          <w:b w:val="0"/>
          <w:bCs w:val="0"/>
          <w:sz w:val="32"/>
          <w:szCs w:val="32"/>
        </w:rPr>
        <w:t>具体产品按企业实际工艺流程生产，但其工艺流程必须科学合理，符合相关规定。</w:t>
      </w:r>
    </w:p>
    <w:p>
      <w:pPr>
        <w:autoSpaceDN w:val="0"/>
        <w:spacing w:line="578" w:lineRule="exact"/>
        <w:jc w:val="center"/>
        <w:textAlignment w:val="center"/>
        <w:outlineLvl w:val="3"/>
        <w:rPr>
          <w:rFonts w:ascii="仿宋" w:hAnsi="仿宋" w:eastAsia="仿宋" w:cs="仿宋"/>
          <w:b w:val="0"/>
          <w:bCs w:val="0"/>
          <w:sz w:val="32"/>
          <w:szCs w:val="32"/>
        </w:rPr>
      </w:pPr>
      <w:r>
        <w:rPr>
          <w:rFonts w:hint="eastAsia" w:ascii="仿宋" w:hAnsi="仿宋" w:eastAsia="仿宋" w:cs="仿宋"/>
          <w:b w:val="0"/>
          <w:bCs w:val="0"/>
          <w:sz w:val="32"/>
          <w:szCs w:val="32"/>
          <w:lang w:val="en-US" w:eastAsia="zh-CN"/>
        </w:rPr>
        <w:t xml:space="preserve">表3 </w:t>
      </w:r>
      <w:r>
        <w:rPr>
          <w:rFonts w:hint="eastAsia" w:ascii="仿宋" w:hAnsi="仿宋" w:eastAsia="仿宋" w:cs="仿宋"/>
          <w:b w:val="0"/>
          <w:bCs w:val="0"/>
          <w:sz w:val="32"/>
          <w:szCs w:val="32"/>
        </w:rPr>
        <w:t>食用酵素（固态）基本生产工艺和设备</w:t>
      </w:r>
    </w:p>
    <w:tbl>
      <w:tblPr>
        <w:tblStyle w:val="9"/>
        <w:tblW w:w="8522" w:type="dxa"/>
        <w:jc w:val="center"/>
        <w:tblLayout w:type="fixed"/>
        <w:tblCellMar>
          <w:top w:w="0" w:type="dxa"/>
          <w:left w:w="108" w:type="dxa"/>
          <w:bottom w:w="0" w:type="dxa"/>
          <w:right w:w="108" w:type="dxa"/>
        </w:tblCellMar>
      </w:tblPr>
      <w:tblGrid>
        <w:gridCol w:w="817"/>
        <w:gridCol w:w="2126"/>
        <w:gridCol w:w="2722"/>
        <w:gridCol w:w="2857"/>
      </w:tblGrid>
      <w:tr>
        <w:tblPrEx>
          <w:tblCellMar>
            <w:top w:w="0" w:type="dxa"/>
            <w:left w:w="108" w:type="dxa"/>
            <w:bottom w:w="0" w:type="dxa"/>
            <w:right w:w="108" w:type="dxa"/>
          </w:tblCellMar>
        </w:tblPrEx>
        <w:trPr>
          <w:trHeight w:val="54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30"/>
                <w:szCs w:val="30"/>
              </w:rPr>
            </w:pPr>
            <w:r>
              <w:rPr>
                <w:rFonts w:hint="eastAsia" w:ascii="仿宋" w:hAnsi="仿宋" w:eastAsia="仿宋" w:cs="仿宋"/>
                <w:b w:val="0"/>
                <w:bCs w:val="0"/>
                <w:sz w:val="30"/>
                <w:szCs w:val="30"/>
              </w:rPr>
              <w:t>序号</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30"/>
                <w:szCs w:val="30"/>
              </w:rPr>
            </w:pPr>
            <w:r>
              <w:rPr>
                <w:rFonts w:hint="eastAsia" w:ascii="仿宋" w:hAnsi="仿宋" w:eastAsia="仿宋" w:cs="仿宋"/>
                <w:b w:val="0"/>
                <w:bCs w:val="0"/>
                <w:sz w:val="30"/>
                <w:szCs w:val="30"/>
              </w:rPr>
              <w:t>基本生产工艺</w:t>
            </w:r>
          </w:p>
        </w:tc>
        <w:tc>
          <w:tcPr>
            <w:tcW w:w="2722"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30"/>
                <w:szCs w:val="30"/>
              </w:rPr>
            </w:pPr>
            <w:r>
              <w:rPr>
                <w:rFonts w:hint="eastAsia" w:ascii="仿宋" w:hAnsi="仿宋" w:eastAsia="仿宋" w:cs="仿宋"/>
                <w:b w:val="0"/>
                <w:bCs w:val="0"/>
                <w:sz w:val="30"/>
                <w:szCs w:val="30"/>
              </w:rPr>
              <w:t>生产设备</w:t>
            </w:r>
          </w:p>
        </w:tc>
        <w:tc>
          <w:tcPr>
            <w:tcW w:w="285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30"/>
                <w:szCs w:val="30"/>
              </w:rPr>
            </w:pPr>
            <w:r>
              <w:rPr>
                <w:rFonts w:hint="eastAsia" w:ascii="仿宋" w:hAnsi="仿宋" w:eastAsia="仿宋" w:cs="仿宋"/>
                <w:b w:val="0"/>
                <w:bCs w:val="0"/>
                <w:sz w:val="30"/>
                <w:szCs w:val="30"/>
              </w:rPr>
              <w:t>备注</w:t>
            </w:r>
          </w:p>
        </w:tc>
      </w:tr>
      <w:tr>
        <w:tblPrEx>
          <w:tblCellMar>
            <w:top w:w="0" w:type="dxa"/>
            <w:left w:w="108" w:type="dxa"/>
            <w:bottom w:w="0" w:type="dxa"/>
            <w:right w:w="108" w:type="dxa"/>
          </w:tblCellMar>
        </w:tblPrEx>
        <w:trPr>
          <w:trHeight w:val="446"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1</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原料</w:t>
            </w:r>
            <w:r>
              <w:rPr>
                <w:rFonts w:hint="eastAsia" w:ascii="仿宋" w:hAnsi="仿宋" w:eastAsia="仿宋" w:cs="仿宋"/>
                <w:b w:val="0"/>
                <w:bCs w:val="0"/>
                <w:sz w:val="28"/>
                <w:szCs w:val="28"/>
                <w:lang w:val="en-US" w:eastAsia="zh-CN"/>
              </w:rPr>
              <w:t>前</w:t>
            </w:r>
            <w:r>
              <w:rPr>
                <w:rFonts w:hint="eastAsia" w:ascii="仿宋" w:hAnsi="仿宋" w:eastAsia="仿宋" w:cs="仿宋"/>
                <w:b w:val="0"/>
                <w:bCs w:val="0"/>
                <w:sz w:val="28"/>
                <w:szCs w:val="28"/>
              </w:rPr>
              <w:t>处理</w:t>
            </w:r>
          </w:p>
        </w:tc>
        <w:tc>
          <w:tcPr>
            <w:tcW w:w="2722"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清洗破碎设备、原料预处理设备</w:t>
            </w:r>
          </w:p>
        </w:tc>
        <w:tc>
          <w:tcPr>
            <w:tcW w:w="285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有该工序的</w:t>
            </w:r>
          </w:p>
        </w:tc>
      </w:tr>
      <w:tr>
        <w:tblPrEx>
          <w:tblCellMar>
            <w:top w:w="0" w:type="dxa"/>
            <w:left w:w="108" w:type="dxa"/>
            <w:bottom w:w="0" w:type="dxa"/>
            <w:right w:w="108" w:type="dxa"/>
          </w:tblCellMar>
        </w:tblPrEx>
        <w:trPr>
          <w:trHeight w:val="446"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菌种制备</w:t>
            </w:r>
          </w:p>
        </w:tc>
        <w:tc>
          <w:tcPr>
            <w:tcW w:w="2722"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菌种制备设备</w:t>
            </w:r>
          </w:p>
        </w:tc>
        <w:tc>
          <w:tcPr>
            <w:tcW w:w="285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有该工序的</w:t>
            </w:r>
          </w:p>
        </w:tc>
      </w:tr>
      <w:tr>
        <w:tblPrEx>
          <w:tblCellMar>
            <w:top w:w="0" w:type="dxa"/>
            <w:left w:w="108" w:type="dxa"/>
            <w:bottom w:w="0" w:type="dxa"/>
            <w:right w:w="108" w:type="dxa"/>
          </w:tblCellMar>
        </w:tblPrEx>
        <w:trPr>
          <w:trHeight w:val="446"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lang w:val="en-US" w:eastAsia="zh-CN"/>
              </w:rPr>
              <w:t>3</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接种</w:t>
            </w:r>
          </w:p>
        </w:tc>
        <w:tc>
          <w:tcPr>
            <w:tcW w:w="2722"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接种设备</w:t>
            </w:r>
          </w:p>
        </w:tc>
        <w:tc>
          <w:tcPr>
            <w:tcW w:w="285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p>
        </w:tc>
      </w:tr>
      <w:tr>
        <w:tblPrEx>
          <w:tblCellMar>
            <w:top w:w="0" w:type="dxa"/>
            <w:left w:w="108" w:type="dxa"/>
            <w:bottom w:w="0" w:type="dxa"/>
            <w:right w:w="108" w:type="dxa"/>
          </w:tblCellMar>
        </w:tblPrEx>
        <w:trPr>
          <w:trHeight w:val="506"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4</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发酵</w:t>
            </w:r>
          </w:p>
        </w:tc>
        <w:tc>
          <w:tcPr>
            <w:tcW w:w="2722"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发酵设备</w:t>
            </w:r>
          </w:p>
        </w:tc>
        <w:tc>
          <w:tcPr>
            <w:tcW w:w="285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p>
        </w:tc>
      </w:tr>
      <w:tr>
        <w:tblPrEx>
          <w:tblCellMar>
            <w:top w:w="0" w:type="dxa"/>
            <w:left w:w="108" w:type="dxa"/>
            <w:bottom w:w="0" w:type="dxa"/>
            <w:right w:w="108" w:type="dxa"/>
          </w:tblCellMar>
        </w:tblPrEx>
        <w:trPr>
          <w:trHeight w:val="76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5</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过滤</w:t>
            </w:r>
          </w:p>
        </w:tc>
        <w:tc>
          <w:tcPr>
            <w:tcW w:w="2722"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过滤设备</w:t>
            </w:r>
          </w:p>
        </w:tc>
        <w:tc>
          <w:tcPr>
            <w:tcW w:w="285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有该工序的</w:t>
            </w:r>
          </w:p>
        </w:tc>
      </w:tr>
      <w:tr>
        <w:tblPrEx>
          <w:tblCellMar>
            <w:top w:w="0" w:type="dxa"/>
            <w:left w:w="108" w:type="dxa"/>
            <w:bottom w:w="0" w:type="dxa"/>
            <w:right w:w="108" w:type="dxa"/>
          </w:tblCellMar>
        </w:tblPrEx>
        <w:trPr>
          <w:trHeight w:val="63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6</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调配</w:t>
            </w:r>
          </w:p>
        </w:tc>
        <w:tc>
          <w:tcPr>
            <w:tcW w:w="2722"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调配设备</w:t>
            </w:r>
          </w:p>
        </w:tc>
        <w:tc>
          <w:tcPr>
            <w:tcW w:w="285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有该工序的</w:t>
            </w:r>
          </w:p>
        </w:tc>
      </w:tr>
      <w:tr>
        <w:tblPrEx>
          <w:tblCellMar>
            <w:top w:w="0" w:type="dxa"/>
            <w:left w:w="108" w:type="dxa"/>
            <w:bottom w:w="0" w:type="dxa"/>
            <w:right w:w="108" w:type="dxa"/>
          </w:tblCellMar>
        </w:tblPrEx>
        <w:trPr>
          <w:trHeight w:val="558"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7</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杀菌、浓缩</w:t>
            </w:r>
          </w:p>
        </w:tc>
        <w:tc>
          <w:tcPr>
            <w:tcW w:w="2722"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杀菌/浓缩设备</w:t>
            </w:r>
          </w:p>
        </w:tc>
        <w:tc>
          <w:tcPr>
            <w:tcW w:w="285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有该工序的</w:t>
            </w:r>
          </w:p>
        </w:tc>
      </w:tr>
      <w:tr>
        <w:tblPrEx>
          <w:tblCellMar>
            <w:top w:w="0" w:type="dxa"/>
            <w:left w:w="108" w:type="dxa"/>
            <w:bottom w:w="0" w:type="dxa"/>
            <w:right w:w="108" w:type="dxa"/>
          </w:tblCellMar>
        </w:tblPrEx>
        <w:trPr>
          <w:trHeight w:val="558"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8</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干燥</w:t>
            </w:r>
          </w:p>
        </w:tc>
        <w:tc>
          <w:tcPr>
            <w:tcW w:w="2722"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干燥设备</w:t>
            </w:r>
          </w:p>
        </w:tc>
        <w:tc>
          <w:tcPr>
            <w:tcW w:w="285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p>
        </w:tc>
      </w:tr>
      <w:tr>
        <w:tblPrEx>
          <w:tblCellMar>
            <w:top w:w="0" w:type="dxa"/>
            <w:left w:w="108" w:type="dxa"/>
            <w:bottom w:w="0" w:type="dxa"/>
            <w:right w:w="108" w:type="dxa"/>
          </w:tblCellMar>
        </w:tblPrEx>
        <w:trPr>
          <w:trHeight w:val="71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9</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配料混合</w:t>
            </w:r>
          </w:p>
        </w:tc>
        <w:tc>
          <w:tcPr>
            <w:tcW w:w="2722"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配料设备、混合设备</w:t>
            </w:r>
          </w:p>
        </w:tc>
        <w:tc>
          <w:tcPr>
            <w:tcW w:w="285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有该工序的</w:t>
            </w:r>
          </w:p>
        </w:tc>
      </w:tr>
      <w:tr>
        <w:tblPrEx>
          <w:tblCellMar>
            <w:top w:w="0" w:type="dxa"/>
            <w:left w:w="108" w:type="dxa"/>
            <w:bottom w:w="0" w:type="dxa"/>
            <w:right w:w="108" w:type="dxa"/>
          </w:tblCellMar>
        </w:tblPrEx>
        <w:trPr>
          <w:trHeight w:val="71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10</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内包装</w:t>
            </w:r>
          </w:p>
        </w:tc>
        <w:tc>
          <w:tcPr>
            <w:tcW w:w="2722"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自动包装设备、金属检测设备</w:t>
            </w:r>
          </w:p>
        </w:tc>
        <w:tc>
          <w:tcPr>
            <w:tcW w:w="285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生产大包装（食品工业用）原料的可不作要求</w:t>
            </w:r>
          </w:p>
        </w:tc>
      </w:tr>
      <w:tr>
        <w:tblPrEx>
          <w:tblCellMar>
            <w:top w:w="0" w:type="dxa"/>
            <w:left w:w="108" w:type="dxa"/>
            <w:bottom w:w="0" w:type="dxa"/>
            <w:right w:w="108" w:type="dxa"/>
          </w:tblCellMar>
        </w:tblPrEx>
        <w:trPr>
          <w:trHeight w:val="71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11</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外包装</w:t>
            </w:r>
          </w:p>
        </w:tc>
        <w:tc>
          <w:tcPr>
            <w:tcW w:w="2722"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贴标设备、喷码设备</w:t>
            </w:r>
          </w:p>
        </w:tc>
        <w:tc>
          <w:tcPr>
            <w:tcW w:w="285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有该工序的</w:t>
            </w:r>
          </w:p>
        </w:tc>
      </w:tr>
      <w:tr>
        <w:tblPrEx>
          <w:tblCellMar>
            <w:top w:w="0" w:type="dxa"/>
            <w:left w:w="108" w:type="dxa"/>
            <w:bottom w:w="0" w:type="dxa"/>
            <w:right w:w="108" w:type="dxa"/>
          </w:tblCellMar>
        </w:tblPrEx>
        <w:trPr>
          <w:trHeight w:val="71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12</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清场</w:t>
            </w:r>
          </w:p>
        </w:tc>
        <w:tc>
          <w:tcPr>
            <w:tcW w:w="2722"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全自动CIP清洗设备</w:t>
            </w:r>
          </w:p>
        </w:tc>
        <w:tc>
          <w:tcPr>
            <w:tcW w:w="285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p>
        </w:tc>
      </w:tr>
    </w:tbl>
    <w:p>
      <w:pPr>
        <w:autoSpaceDN w:val="0"/>
        <w:spacing w:line="578" w:lineRule="exact"/>
        <w:jc w:val="center"/>
        <w:textAlignment w:val="center"/>
        <w:outlineLvl w:val="3"/>
        <w:rPr>
          <w:rFonts w:ascii="仿宋" w:hAnsi="仿宋" w:eastAsia="仿宋" w:cs="仿宋"/>
          <w:b w:val="0"/>
          <w:bCs w:val="0"/>
          <w:sz w:val="32"/>
          <w:szCs w:val="32"/>
        </w:rPr>
      </w:pPr>
      <w:r>
        <w:rPr>
          <w:rFonts w:hint="eastAsia" w:ascii="仿宋" w:hAnsi="仿宋" w:eastAsia="仿宋" w:cs="仿宋"/>
          <w:b w:val="0"/>
          <w:bCs w:val="0"/>
          <w:sz w:val="32"/>
          <w:szCs w:val="32"/>
          <w:lang w:val="en-US" w:eastAsia="zh-CN"/>
        </w:rPr>
        <w:t xml:space="preserve">表4 </w:t>
      </w:r>
      <w:r>
        <w:rPr>
          <w:rFonts w:hint="eastAsia" w:ascii="仿宋" w:hAnsi="仿宋" w:eastAsia="仿宋" w:cs="仿宋"/>
          <w:b w:val="0"/>
          <w:bCs w:val="0"/>
          <w:sz w:val="32"/>
          <w:szCs w:val="32"/>
        </w:rPr>
        <w:t>食用酵素（半固态/液态）基本生产工艺和设备</w:t>
      </w:r>
    </w:p>
    <w:tbl>
      <w:tblPr>
        <w:tblStyle w:val="9"/>
        <w:tblW w:w="8522" w:type="dxa"/>
        <w:jc w:val="center"/>
        <w:tblLayout w:type="fixed"/>
        <w:tblCellMar>
          <w:top w:w="0" w:type="dxa"/>
          <w:left w:w="108" w:type="dxa"/>
          <w:bottom w:w="0" w:type="dxa"/>
          <w:right w:w="108" w:type="dxa"/>
        </w:tblCellMar>
      </w:tblPr>
      <w:tblGrid>
        <w:gridCol w:w="817"/>
        <w:gridCol w:w="2126"/>
        <w:gridCol w:w="2722"/>
        <w:gridCol w:w="2857"/>
      </w:tblGrid>
      <w:tr>
        <w:tblPrEx>
          <w:tblCellMar>
            <w:top w:w="0" w:type="dxa"/>
            <w:left w:w="108" w:type="dxa"/>
            <w:bottom w:w="0" w:type="dxa"/>
            <w:right w:w="108" w:type="dxa"/>
          </w:tblCellMar>
        </w:tblPrEx>
        <w:trPr>
          <w:trHeight w:val="54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30"/>
                <w:szCs w:val="30"/>
              </w:rPr>
            </w:pPr>
            <w:r>
              <w:rPr>
                <w:rFonts w:hint="eastAsia" w:ascii="仿宋" w:hAnsi="仿宋" w:eastAsia="仿宋" w:cs="仿宋"/>
                <w:b w:val="0"/>
                <w:bCs w:val="0"/>
                <w:sz w:val="30"/>
                <w:szCs w:val="30"/>
              </w:rPr>
              <w:t>序号</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30"/>
                <w:szCs w:val="30"/>
              </w:rPr>
            </w:pPr>
            <w:r>
              <w:rPr>
                <w:rFonts w:hint="eastAsia" w:ascii="仿宋" w:hAnsi="仿宋" w:eastAsia="仿宋" w:cs="仿宋"/>
                <w:b w:val="0"/>
                <w:bCs w:val="0"/>
                <w:sz w:val="30"/>
                <w:szCs w:val="30"/>
              </w:rPr>
              <w:t>基本生产工艺</w:t>
            </w:r>
          </w:p>
        </w:tc>
        <w:tc>
          <w:tcPr>
            <w:tcW w:w="2722"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30"/>
                <w:szCs w:val="30"/>
              </w:rPr>
            </w:pPr>
            <w:r>
              <w:rPr>
                <w:rFonts w:hint="eastAsia" w:ascii="仿宋" w:hAnsi="仿宋" w:eastAsia="仿宋" w:cs="仿宋"/>
                <w:b w:val="0"/>
                <w:bCs w:val="0"/>
                <w:sz w:val="30"/>
                <w:szCs w:val="30"/>
              </w:rPr>
              <w:t>生产设备</w:t>
            </w:r>
          </w:p>
        </w:tc>
        <w:tc>
          <w:tcPr>
            <w:tcW w:w="285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30"/>
                <w:szCs w:val="30"/>
              </w:rPr>
            </w:pPr>
            <w:r>
              <w:rPr>
                <w:rFonts w:hint="eastAsia" w:ascii="仿宋" w:hAnsi="仿宋" w:eastAsia="仿宋" w:cs="仿宋"/>
                <w:b w:val="0"/>
                <w:bCs w:val="0"/>
                <w:sz w:val="30"/>
                <w:szCs w:val="30"/>
              </w:rPr>
              <w:t>备注</w:t>
            </w:r>
          </w:p>
        </w:tc>
      </w:tr>
      <w:tr>
        <w:tblPrEx>
          <w:tblCellMar>
            <w:top w:w="0" w:type="dxa"/>
            <w:left w:w="108" w:type="dxa"/>
            <w:bottom w:w="0" w:type="dxa"/>
            <w:right w:w="108" w:type="dxa"/>
          </w:tblCellMar>
        </w:tblPrEx>
        <w:trPr>
          <w:trHeight w:val="446"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1</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原料</w:t>
            </w:r>
            <w:r>
              <w:rPr>
                <w:rFonts w:hint="eastAsia" w:ascii="仿宋" w:hAnsi="仿宋" w:eastAsia="仿宋" w:cs="仿宋"/>
                <w:b w:val="0"/>
                <w:bCs w:val="0"/>
                <w:sz w:val="28"/>
                <w:szCs w:val="28"/>
                <w:lang w:val="en-US" w:eastAsia="zh-CN"/>
              </w:rPr>
              <w:t>前</w:t>
            </w:r>
            <w:r>
              <w:rPr>
                <w:rFonts w:hint="eastAsia" w:ascii="仿宋" w:hAnsi="仿宋" w:eastAsia="仿宋" w:cs="仿宋"/>
                <w:b w:val="0"/>
                <w:bCs w:val="0"/>
                <w:sz w:val="28"/>
                <w:szCs w:val="28"/>
              </w:rPr>
              <w:t>处理</w:t>
            </w:r>
          </w:p>
        </w:tc>
        <w:tc>
          <w:tcPr>
            <w:tcW w:w="2722"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清洗破碎设备、原料预处理设备</w:t>
            </w:r>
          </w:p>
        </w:tc>
        <w:tc>
          <w:tcPr>
            <w:tcW w:w="285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有该工序的</w:t>
            </w:r>
          </w:p>
        </w:tc>
      </w:tr>
      <w:tr>
        <w:tblPrEx>
          <w:tblCellMar>
            <w:top w:w="0" w:type="dxa"/>
            <w:left w:w="108" w:type="dxa"/>
            <w:bottom w:w="0" w:type="dxa"/>
            <w:right w:w="108" w:type="dxa"/>
          </w:tblCellMar>
        </w:tblPrEx>
        <w:trPr>
          <w:trHeight w:val="446"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菌种制备</w:t>
            </w:r>
          </w:p>
        </w:tc>
        <w:tc>
          <w:tcPr>
            <w:tcW w:w="2722"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hint="default" w:ascii="仿宋" w:hAnsi="仿宋" w:eastAsia="仿宋" w:cs="仿宋"/>
                <w:b w:val="0"/>
                <w:bCs w:val="0"/>
                <w:sz w:val="28"/>
                <w:szCs w:val="28"/>
                <w:lang w:val="en-US"/>
              </w:rPr>
            </w:pPr>
            <w:r>
              <w:rPr>
                <w:rFonts w:hint="eastAsia" w:ascii="仿宋" w:hAnsi="仿宋" w:eastAsia="仿宋" w:cs="仿宋"/>
                <w:b w:val="0"/>
                <w:bCs w:val="0"/>
                <w:sz w:val="28"/>
                <w:szCs w:val="28"/>
                <w:lang w:val="en-US" w:eastAsia="zh-CN"/>
              </w:rPr>
              <w:t>菌种制备设备</w:t>
            </w:r>
          </w:p>
        </w:tc>
        <w:tc>
          <w:tcPr>
            <w:tcW w:w="285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有该工序的</w:t>
            </w:r>
          </w:p>
        </w:tc>
      </w:tr>
      <w:tr>
        <w:tblPrEx>
          <w:tblCellMar>
            <w:top w:w="0" w:type="dxa"/>
            <w:left w:w="108" w:type="dxa"/>
            <w:bottom w:w="0" w:type="dxa"/>
            <w:right w:w="108" w:type="dxa"/>
          </w:tblCellMar>
        </w:tblPrEx>
        <w:trPr>
          <w:trHeight w:val="446"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3</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接种</w:t>
            </w:r>
          </w:p>
        </w:tc>
        <w:tc>
          <w:tcPr>
            <w:tcW w:w="2722"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接种设备</w:t>
            </w:r>
          </w:p>
        </w:tc>
        <w:tc>
          <w:tcPr>
            <w:tcW w:w="285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p>
        </w:tc>
      </w:tr>
      <w:tr>
        <w:tblPrEx>
          <w:tblCellMar>
            <w:top w:w="0" w:type="dxa"/>
            <w:left w:w="108" w:type="dxa"/>
            <w:bottom w:w="0" w:type="dxa"/>
            <w:right w:w="108" w:type="dxa"/>
          </w:tblCellMar>
        </w:tblPrEx>
        <w:trPr>
          <w:trHeight w:val="506"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4</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发酵</w:t>
            </w:r>
          </w:p>
        </w:tc>
        <w:tc>
          <w:tcPr>
            <w:tcW w:w="2722"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发酵设备</w:t>
            </w:r>
          </w:p>
        </w:tc>
        <w:tc>
          <w:tcPr>
            <w:tcW w:w="285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p>
        </w:tc>
      </w:tr>
      <w:tr>
        <w:tblPrEx>
          <w:tblCellMar>
            <w:top w:w="0" w:type="dxa"/>
            <w:left w:w="108" w:type="dxa"/>
            <w:bottom w:w="0" w:type="dxa"/>
            <w:right w:w="108" w:type="dxa"/>
          </w:tblCellMar>
        </w:tblPrEx>
        <w:trPr>
          <w:trHeight w:val="76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5</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过滤</w:t>
            </w:r>
          </w:p>
        </w:tc>
        <w:tc>
          <w:tcPr>
            <w:tcW w:w="2722"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过滤设备</w:t>
            </w:r>
          </w:p>
        </w:tc>
        <w:tc>
          <w:tcPr>
            <w:tcW w:w="285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有该工序的</w:t>
            </w:r>
          </w:p>
        </w:tc>
      </w:tr>
      <w:tr>
        <w:tblPrEx>
          <w:tblCellMar>
            <w:top w:w="0" w:type="dxa"/>
            <w:left w:w="108" w:type="dxa"/>
            <w:bottom w:w="0" w:type="dxa"/>
            <w:right w:w="108" w:type="dxa"/>
          </w:tblCellMar>
        </w:tblPrEx>
        <w:trPr>
          <w:trHeight w:val="63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6</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调配</w:t>
            </w:r>
          </w:p>
        </w:tc>
        <w:tc>
          <w:tcPr>
            <w:tcW w:w="2722"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调配设备</w:t>
            </w:r>
          </w:p>
        </w:tc>
        <w:tc>
          <w:tcPr>
            <w:tcW w:w="285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有该工序的</w:t>
            </w:r>
          </w:p>
        </w:tc>
      </w:tr>
      <w:tr>
        <w:tblPrEx>
          <w:tblCellMar>
            <w:top w:w="0" w:type="dxa"/>
            <w:left w:w="108" w:type="dxa"/>
            <w:bottom w:w="0" w:type="dxa"/>
            <w:right w:w="108" w:type="dxa"/>
          </w:tblCellMar>
        </w:tblPrEx>
        <w:trPr>
          <w:trHeight w:val="558"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7</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杀菌、浓缩</w:t>
            </w:r>
          </w:p>
        </w:tc>
        <w:tc>
          <w:tcPr>
            <w:tcW w:w="2722"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杀菌/浓缩设备</w:t>
            </w:r>
          </w:p>
        </w:tc>
        <w:tc>
          <w:tcPr>
            <w:tcW w:w="285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有该工序的</w:t>
            </w:r>
          </w:p>
        </w:tc>
      </w:tr>
      <w:tr>
        <w:tblPrEx>
          <w:tblCellMar>
            <w:top w:w="0" w:type="dxa"/>
            <w:left w:w="108" w:type="dxa"/>
            <w:bottom w:w="0" w:type="dxa"/>
            <w:right w:w="108" w:type="dxa"/>
          </w:tblCellMar>
        </w:tblPrEx>
        <w:trPr>
          <w:trHeight w:val="558"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8</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灌装</w:t>
            </w:r>
          </w:p>
        </w:tc>
        <w:tc>
          <w:tcPr>
            <w:tcW w:w="2722"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自动灌装封盖（口）设备</w:t>
            </w:r>
          </w:p>
        </w:tc>
        <w:tc>
          <w:tcPr>
            <w:tcW w:w="285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p>
        </w:tc>
      </w:tr>
      <w:tr>
        <w:tblPrEx>
          <w:tblCellMar>
            <w:top w:w="0" w:type="dxa"/>
            <w:left w:w="108" w:type="dxa"/>
            <w:bottom w:w="0" w:type="dxa"/>
            <w:right w:w="108" w:type="dxa"/>
          </w:tblCellMar>
        </w:tblPrEx>
        <w:trPr>
          <w:trHeight w:val="71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9</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外包装</w:t>
            </w:r>
          </w:p>
        </w:tc>
        <w:tc>
          <w:tcPr>
            <w:tcW w:w="2722"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贴标设备、喷码设备</w:t>
            </w:r>
          </w:p>
        </w:tc>
        <w:tc>
          <w:tcPr>
            <w:tcW w:w="285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有该工序的</w:t>
            </w:r>
          </w:p>
        </w:tc>
      </w:tr>
      <w:tr>
        <w:tblPrEx>
          <w:tblCellMar>
            <w:top w:w="0" w:type="dxa"/>
            <w:left w:w="108" w:type="dxa"/>
            <w:bottom w:w="0" w:type="dxa"/>
            <w:right w:w="108" w:type="dxa"/>
          </w:tblCellMar>
        </w:tblPrEx>
        <w:trPr>
          <w:trHeight w:val="71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10</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清场</w:t>
            </w:r>
          </w:p>
        </w:tc>
        <w:tc>
          <w:tcPr>
            <w:tcW w:w="2722"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r>
              <w:rPr>
                <w:rFonts w:hint="eastAsia" w:ascii="仿宋" w:hAnsi="仿宋" w:eastAsia="仿宋" w:cs="仿宋"/>
                <w:b w:val="0"/>
                <w:bCs w:val="0"/>
                <w:sz w:val="28"/>
                <w:szCs w:val="28"/>
              </w:rPr>
              <w:t>全自动CIP清洗设备</w:t>
            </w:r>
          </w:p>
        </w:tc>
        <w:tc>
          <w:tcPr>
            <w:tcW w:w="285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outlineLvl w:val="3"/>
              <w:rPr>
                <w:rFonts w:ascii="仿宋" w:hAnsi="仿宋" w:eastAsia="仿宋" w:cs="仿宋"/>
                <w:b w:val="0"/>
                <w:bCs w:val="0"/>
                <w:sz w:val="28"/>
                <w:szCs w:val="28"/>
              </w:rPr>
            </w:pPr>
          </w:p>
        </w:tc>
      </w:tr>
    </w:tbl>
    <w:p>
      <w:pPr>
        <w:tabs>
          <w:tab w:val="left" w:pos="0"/>
          <w:tab w:val="left" w:pos="425"/>
        </w:tabs>
        <w:spacing w:line="578" w:lineRule="exact"/>
        <w:ind w:firstLine="643" w:firstLineChars="200"/>
        <w:outlineLvl w:val="3"/>
        <w:rPr>
          <w:rFonts w:ascii="仿宋" w:hAnsi="仿宋" w:eastAsia="仿宋" w:cs="仿宋"/>
          <w:b w:val="0"/>
          <w:bCs w:val="0"/>
          <w:color w:val="000000"/>
          <w:sz w:val="32"/>
          <w:szCs w:val="32"/>
        </w:rPr>
      </w:pPr>
      <w:r>
        <w:rPr>
          <w:rFonts w:hint="eastAsia" w:ascii="仿宋" w:hAnsi="仿宋" w:eastAsia="仿宋" w:cs="仿宋"/>
          <w:b/>
          <w:bCs/>
          <w:kern w:val="0"/>
          <w:sz w:val="32"/>
          <w:szCs w:val="32"/>
        </w:rPr>
        <w:t>第二十五条</w:t>
      </w:r>
      <w:r>
        <w:rPr>
          <w:rFonts w:hint="eastAsia" w:ascii="仿宋" w:hAnsi="仿宋" w:eastAsia="仿宋" w:cs="仿宋"/>
          <w:b w:val="0"/>
          <w:bCs w:val="0"/>
          <w:color w:val="000000"/>
          <w:sz w:val="32"/>
          <w:szCs w:val="32"/>
        </w:rPr>
        <w:t xml:space="preserve"> 企业应建立工艺文件、操作规程等生产技术文件，技术文件与实际操作应保持一致性。</w:t>
      </w:r>
    </w:p>
    <w:p>
      <w:pPr>
        <w:tabs>
          <w:tab w:val="left" w:pos="0"/>
          <w:tab w:val="left" w:pos="425"/>
        </w:tabs>
        <w:spacing w:line="578" w:lineRule="exact"/>
        <w:ind w:firstLine="643" w:firstLineChars="200"/>
        <w:outlineLvl w:val="3"/>
        <w:rPr>
          <w:rFonts w:ascii="仿宋" w:hAnsi="仿宋" w:eastAsia="仿宋" w:cs="仿宋"/>
          <w:b w:val="0"/>
          <w:bCs w:val="0"/>
          <w:color w:val="000000"/>
          <w:sz w:val="32"/>
          <w:szCs w:val="32"/>
        </w:rPr>
      </w:pPr>
      <w:r>
        <w:rPr>
          <w:rFonts w:hint="eastAsia" w:ascii="仿宋" w:hAnsi="仿宋" w:eastAsia="仿宋" w:cs="仿宋"/>
          <w:b/>
          <w:bCs/>
          <w:kern w:val="0"/>
          <w:sz w:val="32"/>
          <w:szCs w:val="32"/>
        </w:rPr>
        <w:t>第二十六条</w:t>
      </w:r>
      <w:r>
        <w:rPr>
          <w:rFonts w:hint="eastAsia" w:ascii="仿宋" w:hAnsi="仿宋" w:eastAsia="仿宋" w:cs="仿宋"/>
          <w:b w:val="0"/>
          <w:bCs w:val="0"/>
          <w:color w:val="000000"/>
          <w:sz w:val="32"/>
          <w:szCs w:val="32"/>
        </w:rPr>
        <w:t xml:space="preserve"> 企业应明确影响产品质量的关键控制工序和环节，并对生产过程中的质量安全关键点进行控制。关键控制工序可设为：</w:t>
      </w:r>
    </w:p>
    <w:p>
      <w:pPr>
        <w:tabs>
          <w:tab w:val="left" w:pos="0"/>
          <w:tab w:val="left" w:pos="425"/>
        </w:tabs>
        <w:spacing w:line="578" w:lineRule="exact"/>
        <w:ind w:firstLine="640" w:firstLineChars="200"/>
        <w:outlineLvl w:val="3"/>
        <w:rPr>
          <w:rFonts w:ascii="仿宋" w:hAnsi="仿宋" w:eastAsia="仿宋" w:cs="仿宋"/>
          <w:b w:val="0"/>
          <w:bCs w:val="0"/>
          <w:color w:val="000000"/>
          <w:sz w:val="32"/>
          <w:szCs w:val="32"/>
        </w:rPr>
      </w:pPr>
      <w:r>
        <w:rPr>
          <w:rFonts w:hint="eastAsia" w:ascii="仿宋" w:hAnsi="仿宋" w:eastAsia="仿宋" w:cs="仿宋"/>
          <w:b w:val="0"/>
          <w:bCs w:val="0"/>
          <w:color w:val="000000"/>
          <w:sz w:val="32"/>
          <w:szCs w:val="32"/>
        </w:rPr>
        <w:t>固态产品：原料验收、发酵、杀菌、</w:t>
      </w:r>
      <w:r>
        <w:rPr>
          <w:rFonts w:hint="eastAsia" w:ascii="仿宋" w:hAnsi="仿宋" w:eastAsia="仿宋" w:cs="仿宋"/>
          <w:b w:val="0"/>
          <w:bCs w:val="0"/>
          <w:color w:val="000000"/>
          <w:sz w:val="32"/>
          <w:szCs w:val="32"/>
          <w:lang w:val="en-US" w:eastAsia="zh-CN"/>
        </w:rPr>
        <w:t>干燥、</w:t>
      </w:r>
      <w:r>
        <w:rPr>
          <w:rFonts w:hint="eastAsia" w:ascii="仿宋" w:hAnsi="仿宋" w:eastAsia="仿宋" w:cs="仿宋"/>
          <w:b w:val="0"/>
          <w:bCs w:val="0"/>
          <w:color w:val="000000"/>
          <w:sz w:val="32"/>
          <w:szCs w:val="32"/>
        </w:rPr>
        <w:t>内包装等。</w:t>
      </w:r>
    </w:p>
    <w:p>
      <w:pPr>
        <w:tabs>
          <w:tab w:val="left" w:pos="0"/>
          <w:tab w:val="left" w:pos="425"/>
        </w:tabs>
        <w:spacing w:line="578" w:lineRule="exact"/>
        <w:ind w:firstLine="640" w:firstLineChars="200"/>
        <w:outlineLvl w:val="3"/>
        <w:rPr>
          <w:rFonts w:ascii="仿宋" w:hAnsi="仿宋" w:eastAsia="仿宋" w:cs="仿宋"/>
          <w:b w:val="0"/>
          <w:bCs w:val="0"/>
          <w:color w:val="000000"/>
          <w:sz w:val="32"/>
          <w:szCs w:val="32"/>
        </w:rPr>
      </w:pPr>
      <w:r>
        <w:rPr>
          <w:rFonts w:hint="eastAsia" w:ascii="仿宋" w:hAnsi="仿宋" w:eastAsia="仿宋" w:cs="仿宋"/>
          <w:b w:val="0"/>
          <w:bCs w:val="0"/>
          <w:color w:val="000000"/>
          <w:sz w:val="32"/>
          <w:szCs w:val="32"/>
        </w:rPr>
        <w:t>半固态/液态产品：原料验收、发酵、杀菌</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灌装等。</w:t>
      </w:r>
    </w:p>
    <w:p>
      <w:pPr>
        <w:tabs>
          <w:tab w:val="left" w:pos="8820"/>
        </w:tabs>
        <w:spacing w:before="240" w:line="578" w:lineRule="exact"/>
        <w:jc w:val="center"/>
        <w:rPr>
          <w:rFonts w:ascii="黑体" w:hAnsi="黑体" w:eastAsia="黑体" w:cs="仿宋"/>
          <w:b w:val="0"/>
          <w:bCs w:val="0"/>
          <w:color w:val="000000"/>
          <w:sz w:val="32"/>
          <w:szCs w:val="32"/>
        </w:rPr>
      </w:pPr>
      <w:r>
        <w:rPr>
          <w:rFonts w:hint="eastAsia" w:ascii="黑体" w:hAnsi="黑体" w:eastAsia="黑体" w:cs="仿宋"/>
          <w:b w:val="0"/>
          <w:bCs w:val="0"/>
          <w:kern w:val="0"/>
          <w:sz w:val="32"/>
          <w:szCs w:val="32"/>
        </w:rPr>
        <w:t>第五章 人员管理</w:t>
      </w:r>
    </w:p>
    <w:p>
      <w:pPr>
        <w:tabs>
          <w:tab w:val="left" w:pos="0"/>
          <w:tab w:val="left" w:pos="425"/>
        </w:tabs>
        <w:spacing w:line="578" w:lineRule="exact"/>
        <w:ind w:firstLine="643" w:firstLineChars="200"/>
        <w:rPr>
          <w:rFonts w:ascii="仿宋" w:hAnsi="仿宋" w:eastAsia="仿宋" w:cs="仿宋"/>
          <w:b w:val="0"/>
          <w:bCs w:val="0"/>
          <w:color w:val="000000"/>
          <w:sz w:val="32"/>
          <w:szCs w:val="32"/>
        </w:rPr>
      </w:pPr>
      <w:r>
        <w:rPr>
          <w:rFonts w:hint="eastAsia" w:ascii="仿宋" w:hAnsi="仿宋" w:eastAsia="仿宋" w:cs="仿宋"/>
          <w:b/>
          <w:bCs/>
          <w:kern w:val="0"/>
          <w:sz w:val="32"/>
          <w:szCs w:val="32"/>
        </w:rPr>
        <w:t>第二十七条</w:t>
      </w:r>
      <w:r>
        <w:rPr>
          <w:rFonts w:hint="eastAsia" w:ascii="仿宋" w:hAnsi="仿宋" w:eastAsia="仿宋" w:cs="仿宋"/>
          <w:b w:val="0"/>
          <w:bCs w:val="0"/>
          <w:color w:val="000000"/>
          <w:sz w:val="32"/>
          <w:szCs w:val="32"/>
        </w:rPr>
        <w:t xml:space="preserve"> 企业应设置独立的食品质量安全管理机构，负责食品质量安全管理制度的建立、实施和持续改进，</w:t>
      </w:r>
      <w:r>
        <w:rPr>
          <w:rFonts w:hint="eastAsia" w:ascii="仿宋" w:hAnsi="仿宋" w:eastAsia="仿宋" w:cs="仿宋"/>
          <w:b w:val="0"/>
          <w:bCs w:val="0"/>
          <w:kern w:val="0"/>
          <w:sz w:val="32"/>
          <w:szCs w:val="32"/>
        </w:rPr>
        <w:t>确保各项制度落实到位。</w:t>
      </w:r>
    </w:p>
    <w:p>
      <w:pPr>
        <w:tabs>
          <w:tab w:val="left" w:pos="0"/>
          <w:tab w:val="left" w:pos="425"/>
        </w:tabs>
        <w:spacing w:line="578" w:lineRule="exact"/>
        <w:ind w:firstLine="643" w:firstLineChars="200"/>
        <w:outlineLvl w:val="3"/>
        <w:rPr>
          <w:rFonts w:ascii="仿宋" w:hAnsi="仿宋" w:eastAsia="仿宋" w:cs="仿宋"/>
          <w:b w:val="0"/>
          <w:bCs w:val="0"/>
          <w:color w:val="000000"/>
          <w:sz w:val="32"/>
          <w:szCs w:val="32"/>
        </w:rPr>
      </w:pPr>
      <w:r>
        <w:rPr>
          <w:rFonts w:hint="eastAsia" w:ascii="仿宋" w:hAnsi="仿宋" w:eastAsia="仿宋" w:cs="仿宋"/>
          <w:b/>
          <w:bCs/>
          <w:kern w:val="0"/>
          <w:sz w:val="32"/>
          <w:szCs w:val="32"/>
        </w:rPr>
        <w:t>第二十八条</w:t>
      </w:r>
      <w:r>
        <w:rPr>
          <w:rFonts w:hint="eastAsia" w:ascii="仿宋" w:hAnsi="仿宋" w:eastAsia="仿宋" w:cs="仿宋"/>
          <w:b w:val="0"/>
          <w:bCs w:val="0"/>
          <w:color w:val="000000"/>
          <w:sz w:val="32"/>
          <w:szCs w:val="32"/>
        </w:rPr>
        <w:t xml:space="preserve"> 企业应建立人员管理制度，各岗位人员的数量和能力应与企业规模、工艺、设备水平相适应，与产品质量相关的岗位应设置岗位责任。</w:t>
      </w:r>
      <w:r>
        <w:rPr>
          <w:rFonts w:hint="eastAsia" w:ascii="仿宋" w:hAnsi="仿宋" w:eastAsia="仿宋" w:cs="仿宋"/>
          <w:b w:val="0"/>
          <w:bCs w:val="0"/>
          <w:sz w:val="32"/>
          <w:szCs w:val="32"/>
        </w:rPr>
        <w:t>依法配备与企业规模、食品类别、风险等级、管理水平、安全状况等相适应的食品安全总监、食品安全员等食品安全管理人员，明确企业主要负责人、食品安全总监、食品安全员等的岗位职责。</w:t>
      </w:r>
    </w:p>
    <w:p>
      <w:pPr>
        <w:spacing w:line="578" w:lineRule="exact"/>
        <w:ind w:firstLine="643" w:firstLineChars="200"/>
        <w:rPr>
          <w:rFonts w:ascii="仿宋" w:hAnsi="仿宋" w:eastAsia="仿宋" w:cs="仿宋"/>
          <w:b w:val="0"/>
          <w:bCs w:val="0"/>
          <w:color w:val="000000"/>
          <w:sz w:val="32"/>
          <w:szCs w:val="32"/>
        </w:rPr>
      </w:pPr>
      <w:r>
        <w:rPr>
          <w:rFonts w:hint="eastAsia" w:ascii="仿宋" w:hAnsi="仿宋" w:eastAsia="仿宋" w:cs="仿宋"/>
          <w:b/>
          <w:bCs/>
          <w:kern w:val="0"/>
          <w:sz w:val="32"/>
          <w:szCs w:val="32"/>
        </w:rPr>
        <w:t>第二十九条</w:t>
      </w:r>
      <w:r>
        <w:rPr>
          <w:rFonts w:hint="eastAsia" w:ascii="仿宋" w:hAnsi="仿宋" w:eastAsia="仿宋" w:cs="仿宋"/>
          <w:b w:val="0"/>
          <w:bCs w:val="0"/>
          <w:color w:val="000000"/>
          <w:sz w:val="32"/>
          <w:szCs w:val="32"/>
        </w:rPr>
        <w:t xml:space="preserve"> 企业负责人和食品安全管理人员，</w:t>
      </w:r>
      <w:r>
        <w:rPr>
          <w:rFonts w:hint="eastAsia" w:ascii="仿宋" w:hAnsi="仿宋" w:eastAsia="仿宋" w:cs="仿宋"/>
          <w:b w:val="0"/>
          <w:bCs w:val="0"/>
          <w:sz w:val="32"/>
          <w:szCs w:val="32"/>
        </w:rPr>
        <w:t>应具有3年以上食品工作经历，掌握食用酵素的质量安全知识，知晓应承担的责任和义务。食品安全管理人员应有</w:t>
      </w:r>
      <w:r>
        <w:rPr>
          <w:rFonts w:hint="eastAsia" w:ascii="仿宋" w:hAnsi="仿宋" w:eastAsia="仿宋" w:cs="仿宋"/>
          <w:b w:val="0"/>
          <w:bCs w:val="0"/>
          <w:color w:val="000000"/>
          <w:sz w:val="32"/>
          <w:szCs w:val="32"/>
        </w:rPr>
        <w:t>食品、医药、生物、营养学或相关专业大专以上学历，并经过培训和考核，经考核不具备食品安全管理能力的，不得上岗。企业主要负责人应当组织落实食品安全管理制度，对本企业的食品安全工作全面负责。食品安全管理人员应确保每批产品符合食品安全国家标准和国家相关法律法规的要求，承担原辅料进厂查验和成品出厂的放行责任。</w:t>
      </w:r>
    </w:p>
    <w:p>
      <w:pPr>
        <w:spacing w:line="578" w:lineRule="exact"/>
        <w:ind w:firstLine="643" w:firstLineChars="200"/>
        <w:rPr>
          <w:rFonts w:ascii="仿宋" w:hAnsi="仿宋" w:eastAsia="仿宋" w:cs="仿宋"/>
          <w:b w:val="0"/>
          <w:bCs w:val="0"/>
          <w:sz w:val="32"/>
          <w:szCs w:val="32"/>
        </w:rPr>
      </w:pPr>
      <w:r>
        <w:rPr>
          <w:rFonts w:hint="eastAsia" w:ascii="仿宋" w:hAnsi="仿宋" w:eastAsia="仿宋" w:cs="仿宋"/>
          <w:b/>
          <w:bCs/>
          <w:kern w:val="0"/>
          <w:sz w:val="32"/>
          <w:szCs w:val="32"/>
        </w:rPr>
        <w:t>第三十条</w:t>
      </w:r>
      <w:r>
        <w:rPr>
          <w:rFonts w:hint="eastAsia" w:ascii="仿宋" w:hAnsi="仿宋" w:eastAsia="仿宋" w:cs="仿宋"/>
          <w:b w:val="0"/>
          <w:bCs w:val="0"/>
          <w:color w:val="000000"/>
          <w:sz w:val="32"/>
          <w:szCs w:val="32"/>
        </w:rPr>
        <w:t xml:space="preserve"> 生产管理人员应有食品、医药、生物、营养学或相关专业教育经历，或具有食品相关工作经历和生产管理经验。生产操作人员应掌握生产工艺操作规程，熟练操作生产设备设施。特殊岗位的生产操作人员资格应符合有关规定。</w:t>
      </w:r>
    </w:p>
    <w:p>
      <w:pPr>
        <w:tabs>
          <w:tab w:val="left" w:pos="0"/>
          <w:tab w:val="left" w:pos="425"/>
        </w:tabs>
        <w:spacing w:line="578" w:lineRule="exact"/>
        <w:ind w:firstLine="643" w:firstLineChars="200"/>
        <w:outlineLvl w:val="3"/>
        <w:rPr>
          <w:rFonts w:ascii="仿宋" w:hAnsi="仿宋" w:eastAsia="仿宋" w:cs="仿宋"/>
          <w:b w:val="0"/>
          <w:bCs w:val="0"/>
          <w:color w:val="000000"/>
          <w:sz w:val="32"/>
          <w:szCs w:val="32"/>
        </w:rPr>
      </w:pPr>
      <w:r>
        <w:rPr>
          <w:rFonts w:hint="eastAsia" w:ascii="仿宋" w:hAnsi="仿宋" w:eastAsia="仿宋" w:cs="仿宋"/>
          <w:b/>
          <w:bCs/>
          <w:kern w:val="0"/>
          <w:sz w:val="32"/>
          <w:szCs w:val="32"/>
        </w:rPr>
        <w:t>第三十一条</w:t>
      </w:r>
      <w:r>
        <w:rPr>
          <w:rFonts w:hint="eastAsia" w:ascii="仿宋" w:hAnsi="仿宋" w:eastAsia="仿宋" w:cs="仿宋"/>
          <w:b w:val="0"/>
          <w:bCs w:val="0"/>
          <w:color w:val="000000"/>
          <w:sz w:val="32"/>
          <w:szCs w:val="32"/>
        </w:rPr>
        <w:t xml:space="preserve"> 从事检测的人员应具有食品、生物、化学或相关专业专科以上的学历，或者具有食品检测工作经历，应经专业培训合格，持证上岗。</w:t>
      </w:r>
    </w:p>
    <w:p>
      <w:pPr>
        <w:tabs>
          <w:tab w:val="left" w:pos="0"/>
          <w:tab w:val="left" w:pos="425"/>
        </w:tabs>
        <w:spacing w:line="578" w:lineRule="exact"/>
        <w:ind w:firstLine="643" w:firstLineChars="200"/>
        <w:outlineLvl w:val="3"/>
        <w:rPr>
          <w:rFonts w:ascii="仿宋" w:hAnsi="仿宋" w:eastAsia="仿宋" w:cs="仿宋"/>
          <w:b w:val="0"/>
          <w:bCs w:val="0"/>
          <w:color w:val="000000"/>
          <w:kern w:val="0"/>
          <w:sz w:val="32"/>
          <w:szCs w:val="32"/>
        </w:rPr>
      </w:pPr>
      <w:r>
        <w:rPr>
          <w:rFonts w:hint="eastAsia" w:ascii="仿宋" w:hAnsi="仿宋" w:eastAsia="仿宋" w:cs="仿宋"/>
          <w:b/>
          <w:bCs/>
          <w:kern w:val="0"/>
          <w:sz w:val="32"/>
          <w:szCs w:val="32"/>
        </w:rPr>
        <w:t>第三十二条</w:t>
      </w:r>
      <w:r>
        <w:rPr>
          <w:rFonts w:hint="eastAsia" w:ascii="仿宋" w:hAnsi="仿宋" w:eastAsia="仿宋" w:cs="仿宋"/>
          <w:b w:val="0"/>
          <w:bCs w:val="0"/>
          <w:kern w:val="0"/>
          <w:sz w:val="32"/>
          <w:szCs w:val="32"/>
        </w:rPr>
        <w:t xml:space="preserve"> 企业应当建立培训与考核制度，制定培训计划，不低于40学时，培训的内容应与岗位的要求相适应，应当包含法律法规、食品安全相关标准、生产知识、管理体系知识等，并有相应记录。食品安全管理、检验等与质量相关岗位的人员应进行培训考核，不具备能力的不得上岗。</w:t>
      </w:r>
    </w:p>
    <w:p>
      <w:pPr>
        <w:spacing w:line="578" w:lineRule="exact"/>
        <w:ind w:firstLine="643" w:firstLineChars="200"/>
        <w:rPr>
          <w:rFonts w:ascii="仿宋" w:hAnsi="仿宋" w:eastAsia="仿宋" w:cs="仿宋"/>
          <w:b w:val="0"/>
          <w:bCs w:val="0"/>
          <w:color w:val="000000"/>
          <w:sz w:val="32"/>
          <w:szCs w:val="32"/>
        </w:rPr>
      </w:pPr>
      <w:r>
        <w:rPr>
          <w:rFonts w:hint="eastAsia" w:ascii="仿宋" w:hAnsi="仿宋" w:eastAsia="仿宋" w:cs="仿宋"/>
          <w:b/>
          <w:bCs/>
          <w:kern w:val="0"/>
          <w:sz w:val="32"/>
          <w:szCs w:val="32"/>
        </w:rPr>
        <w:t>第三十三条</w:t>
      </w:r>
      <w:r>
        <w:rPr>
          <w:rFonts w:hint="eastAsia" w:ascii="仿宋" w:hAnsi="仿宋" w:eastAsia="仿宋" w:cs="仿宋"/>
          <w:b w:val="0"/>
          <w:bCs w:val="0"/>
          <w:kern w:val="0"/>
          <w:sz w:val="32"/>
          <w:szCs w:val="32"/>
        </w:rPr>
        <w:t xml:space="preserve"> </w:t>
      </w:r>
      <w:r>
        <w:rPr>
          <w:rFonts w:hint="eastAsia" w:ascii="仿宋" w:hAnsi="仿宋" w:eastAsia="仿宋" w:cs="仿宋"/>
          <w:b w:val="0"/>
          <w:bCs w:val="0"/>
          <w:color w:val="000000"/>
          <w:sz w:val="32"/>
          <w:szCs w:val="32"/>
        </w:rPr>
        <w:t>企业应建立食品加工人员健康管理制度，食品加工人员每年应当进行健康检查，取得健康证明后方可从事食品加工。建立人员健康检查记录，食品加工人员患有法律法规规定的有碍食品安全的疾病时，应调整到其他不影响食品安全的工作岗位。</w:t>
      </w:r>
    </w:p>
    <w:p>
      <w:pPr>
        <w:tabs>
          <w:tab w:val="left" w:pos="8820"/>
        </w:tabs>
        <w:spacing w:before="240" w:line="578" w:lineRule="exact"/>
        <w:jc w:val="center"/>
        <w:rPr>
          <w:rFonts w:ascii="黑体" w:hAnsi="黑体" w:eastAsia="黑体" w:cs="仿宋"/>
          <w:b w:val="0"/>
          <w:bCs w:val="0"/>
          <w:color w:val="000000"/>
          <w:sz w:val="32"/>
          <w:szCs w:val="32"/>
        </w:rPr>
      </w:pPr>
      <w:r>
        <w:rPr>
          <w:rFonts w:hint="eastAsia" w:ascii="黑体" w:hAnsi="黑体" w:eastAsia="黑体" w:cs="仿宋"/>
          <w:b w:val="0"/>
          <w:bCs w:val="0"/>
          <w:kern w:val="0"/>
          <w:sz w:val="32"/>
          <w:szCs w:val="32"/>
        </w:rPr>
        <w:t>第六章 管理制度</w:t>
      </w:r>
    </w:p>
    <w:p>
      <w:pPr>
        <w:tabs>
          <w:tab w:val="left" w:pos="0"/>
          <w:tab w:val="left" w:pos="425"/>
        </w:tabs>
        <w:spacing w:line="578" w:lineRule="exact"/>
        <w:ind w:firstLine="643" w:firstLineChars="200"/>
        <w:jc w:val="left"/>
        <w:outlineLvl w:val="3"/>
        <w:rPr>
          <w:rFonts w:ascii="仿宋_GB2312" w:hAnsi="仿宋_GB2312" w:eastAsia="仿宋_GB2312" w:cs="仿宋_GB2312"/>
          <w:b w:val="0"/>
          <w:bCs w:val="0"/>
          <w:color w:val="000000"/>
          <w:kern w:val="0"/>
          <w:sz w:val="31"/>
          <w:szCs w:val="31"/>
          <w:lang w:bidi="ar"/>
        </w:rPr>
      </w:pPr>
      <w:r>
        <w:rPr>
          <w:rFonts w:hint="eastAsia" w:ascii="仿宋" w:hAnsi="仿宋" w:eastAsia="仿宋" w:cs="仿宋"/>
          <w:b/>
          <w:bCs/>
          <w:kern w:val="0"/>
          <w:sz w:val="32"/>
          <w:szCs w:val="32"/>
        </w:rPr>
        <w:t>第三十四条</w:t>
      </w:r>
      <w:r>
        <w:rPr>
          <w:rFonts w:hint="eastAsia" w:ascii="仿宋" w:hAnsi="仿宋" w:eastAsia="仿宋" w:cs="仿宋"/>
          <w:b w:val="0"/>
          <w:bCs w:val="0"/>
          <w:color w:val="000000"/>
          <w:sz w:val="32"/>
          <w:szCs w:val="32"/>
        </w:rPr>
        <w:t xml:space="preserve"> </w:t>
      </w:r>
      <w:r>
        <w:rPr>
          <w:rFonts w:hint="eastAsia" w:ascii="仿宋_GB2312" w:hAnsi="仿宋_GB2312" w:eastAsia="仿宋_GB2312" w:cs="仿宋_GB2312"/>
          <w:b w:val="0"/>
          <w:bCs w:val="0"/>
          <w:color w:val="000000"/>
          <w:kern w:val="0"/>
          <w:sz w:val="31"/>
          <w:szCs w:val="31"/>
          <w:lang w:bidi="ar"/>
        </w:rPr>
        <w:t>企业应建立进货查验记录制度，企业应当建立食品原料、食品添加剂、食品相关产品进货查验记录制度，应当查验供货者的许可证和食品出厂检验合格证或者其他合格证明。如实记录食品原料、食品添加剂和食品包装材料等食品相关产品的名称、规格、数量、生产日期或者生产批号、保质期、进货日期以及供货者名称、地址、联系方式等内容，并保存相关凭证。</w:t>
      </w:r>
    </w:p>
    <w:p>
      <w:pPr>
        <w:tabs>
          <w:tab w:val="left" w:pos="0"/>
          <w:tab w:val="left" w:pos="425"/>
        </w:tabs>
        <w:spacing w:line="578" w:lineRule="exact"/>
        <w:ind w:firstLine="643" w:firstLineChars="200"/>
        <w:jc w:val="left"/>
        <w:outlineLvl w:val="3"/>
        <w:rPr>
          <w:rFonts w:ascii="仿宋_GB2312" w:hAnsi="仿宋_GB2312" w:eastAsia="仿宋_GB2312" w:cs="仿宋_GB2312"/>
          <w:b w:val="0"/>
          <w:bCs w:val="0"/>
          <w:color w:val="000000"/>
          <w:kern w:val="0"/>
          <w:sz w:val="31"/>
          <w:szCs w:val="31"/>
          <w:lang w:bidi="ar"/>
        </w:rPr>
      </w:pPr>
      <w:r>
        <w:rPr>
          <w:rFonts w:hint="eastAsia" w:ascii="仿宋" w:hAnsi="仿宋" w:eastAsia="仿宋" w:cs="仿宋"/>
          <w:b/>
          <w:bCs/>
          <w:kern w:val="0"/>
          <w:sz w:val="32"/>
          <w:szCs w:val="32"/>
        </w:rPr>
        <w:t>第三十五条</w:t>
      </w:r>
      <w:r>
        <w:rPr>
          <w:rFonts w:hint="eastAsia" w:ascii="仿宋" w:hAnsi="仿宋" w:eastAsia="仿宋" w:cs="仿宋"/>
          <w:b w:val="0"/>
          <w:bCs w:val="0"/>
          <w:kern w:val="0"/>
          <w:sz w:val="32"/>
          <w:szCs w:val="32"/>
        </w:rPr>
        <w:t xml:space="preserve"> </w:t>
      </w:r>
      <w:r>
        <w:rPr>
          <w:rFonts w:hint="eastAsia" w:ascii="仿宋_GB2312" w:hAnsi="仿宋_GB2312" w:eastAsia="仿宋_GB2312" w:cs="仿宋_GB2312"/>
          <w:b w:val="0"/>
          <w:bCs w:val="0"/>
          <w:color w:val="000000"/>
          <w:kern w:val="0"/>
          <w:sz w:val="31"/>
          <w:szCs w:val="31"/>
          <w:lang w:bidi="ar"/>
        </w:rPr>
        <w:t>企业应建立食品添加剂管理制度，应列明配料中使用的食品添加剂的使用依据和规定使用量；所使用的食品添加剂应符合相应产品标准及国务院卫生行政部门相关公告的规定。</w:t>
      </w:r>
    </w:p>
    <w:p>
      <w:pPr>
        <w:tabs>
          <w:tab w:val="left" w:pos="0"/>
          <w:tab w:val="left" w:pos="425"/>
        </w:tabs>
        <w:spacing w:line="578" w:lineRule="exact"/>
        <w:ind w:firstLine="622" w:firstLineChars="200"/>
        <w:jc w:val="left"/>
        <w:outlineLvl w:val="3"/>
        <w:rPr>
          <w:rFonts w:ascii="仿宋_GB2312" w:hAnsi="仿宋_GB2312" w:eastAsia="仿宋_GB2312" w:cs="仿宋_GB2312"/>
          <w:b w:val="0"/>
          <w:bCs w:val="0"/>
          <w:color w:val="000000"/>
          <w:kern w:val="0"/>
          <w:sz w:val="31"/>
          <w:szCs w:val="31"/>
          <w:lang w:bidi="ar"/>
        </w:rPr>
      </w:pPr>
      <w:r>
        <w:rPr>
          <w:rFonts w:hint="eastAsia" w:ascii="仿宋_GB2312" w:hAnsi="仿宋_GB2312" w:eastAsia="仿宋_GB2312" w:cs="仿宋_GB2312"/>
          <w:b/>
          <w:bCs/>
          <w:color w:val="000000"/>
          <w:kern w:val="0"/>
          <w:sz w:val="31"/>
          <w:szCs w:val="31"/>
          <w:lang w:bidi="ar"/>
        </w:rPr>
        <w:t>第三十六条</w:t>
      </w:r>
      <w:r>
        <w:rPr>
          <w:rFonts w:hint="eastAsia" w:ascii="仿宋_GB2312" w:hAnsi="仿宋_GB2312" w:eastAsia="仿宋_GB2312" w:cs="仿宋_GB2312"/>
          <w:b w:val="0"/>
          <w:bCs w:val="0"/>
          <w:color w:val="000000"/>
          <w:kern w:val="0"/>
          <w:sz w:val="31"/>
          <w:szCs w:val="31"/>
          <w:lang w:bidi="ar"/>
        </w:rPr>
        <w:t xml:space="preserve"> 企业应建立生产过程管理制度，</w:t>
      </w:r>
      <w:r>
        <w:rPr>
          <w:rFonts w:hint="eastAsia" w:ascii="仿宋_GB2312" w:hAnsi="仿宋_GB2312" w:eastAsia="仿宋_GB2312" w:cs="仿宋_GB2312"/>
          <w:b w:val="0"/>
          <w:bCs w:val="0"/>
          <w:color w:val="000000"/>
          <w:kern w:val="0"/>
          <w:sz w:val="31"/>
          <w:szCs w:val="31"/>
          <w:lang w:val="en-US" w:eastAsia="zh-CN" w:bidi="ar"/>
        </w:rPr>
        <w:t>实施全过程生产管控</w:t>
      </w:r>
      <w:r>
        <w:rPr>
          <w:rFonts w:hint="eastAsia" w:ascii="仿宋_GB2312" w:hAnsi="仿宋_GB2312" w:eastAsia="仿宋_GB2312" w:cs="仿宋_GB2312"/>
          <w:b w:val="0"/>
          <w:bCs w:val="0"/>
          <w:color w:val="000000"/>
          <w:kern w:val="0"/>
          <w:sz w:val="31"/>
          <w:szCs w:val="31"/>
          <w:lang w:bidi="ar"/>
        </w:rPr>
        <w:t>，并做好相应记录。</w:t>
      </w:r>
    </w:p>
    <w:p>
      <w:pPr>
        <w:tabs>
          <w:tab w:val="left" w:pos="0"/>
          <w:tab w:val="left" w:pos="425"/>
        </w:tabs>
        <w:spacing w:line="578" w:lineRule="exact"/>
        <w:ind w:firstLine="622" w:firstLineChars="200"/>
        <w:jc w:val="left"/>
        <w:outlineLvl w:val="3"/>
        <w:rPr>
          <w:rFonts w:ascii="仿宋_GB2312" w:hAnsi="仿宋_GB2312" w:eastAsia="仿宋_GB2312" w:cs="仿宋_GB2312"/>
          <w:b w:val="0"/>
          <w:bCs w:val="0"/>
          <w:color w:val="000000"/>
          <w:kern w:val="0"/>
          <w:sz w:val="31"/>
          <w:szCs w:val="31"/>
          <w:lang w:bidi="ar"/>
        </w:rPr>
      </w:pPr>
      <w:r>
        <w:rPr>
          <w:rFonts w:hint="eastAsia" w:ascii="仿宋_GB2312" w:hAnsi="仿宋_GB2312" w:eastAsia="仿宋_GB2312" w:cs="仿宋_GB2312"/>
          <w:b/>
          <w:bCs/>
          <w:color w:val="000000"/>
          <w:kern w:val="0"/>
          <w:sz w:val="31"/>
          <w:szCs w:val="31"/>
          <w:lang w:bidi="ar"/>
        </w:rPr>
        <w:t>第三十七条</w:t>
      </w:r>
      <w:r>
        <w:rPr>
          <w:rFonts w:hint="eastAsia" w:ascii="仿宋_GB2312" w:hAnsi="仿宋_GB2312" w:eastAsia="仿宋_GB2312" w:cs="仿宋_GB2312"/>
          <w:b w:val="0"/>
          <w:bCs w:val="0"/>
          <w:color w:val="000000"/>
          <w:kern w:val="0"/>
          <w:sz w:val="31"/>
          <w:szCs w:val="31"/>
          <w:lang w:bidi="ar"/>
        </w:rPr>
        <w:t xml:space="preserve"> 企业应建立检验管理制度，包括对原辅料检验、出厂检验的管理规定，确保产品符合相关标准要求，并妥善保存各项检验的原始记录和检验报告。</w:t>
      </w:r>
    </w:p>
    <w:p>
      <w:pPr>
        <w:tabs>
          <w:tab w:val="left" w:pos="0"/>
          <w:tab w:val="left" w:pos="425"/>
        </w:tabs>
        <w:spacing w:line="578" w:lineRule="exact"/>
        <w:ind w:firstLine="620" w:firstLineChars="200"/>
        <w:jc w:val="left"/>
        <w:outlineLvl w:val="3"/>
        <w:rPr>
          <w:rFonts w:ascii="仿宋_GB2312" w:hAnsi="仿宋_GB2312" w:eastAsia="仿宋_GB2312" w:cs="仿宋_GB2312"/>
          <w:b w:val="0"/>
          <w:bCs w:val="0"/>
          <w:color w:val="000000"/>
          <w:kern w:val="0"/>
          <w:sz w:val="31"/>
          <w:szCs w:val="31"/>
          <w:lang w:bidi="ar"/>
        </w:rPr>
      </w:pPr>
      <w:r>
        <w:rPr>
          <w:rFonts w:hint="eastAsia" w:ascii="仿宋_GB2312" w:hAnsi="仿宋_GB2312" w:eastAsia="仿宋_GB2312" w:cs="仿宋_GB2312"/>
          <w:b w:val="0"/>
          <w:bCs w:val="0"/>
          <w:color w:val="000000"/>
          <w:kern w:val="0"/>
          <w:sz w:val="31"/>
          <w:szCs w:val="31"/>
          <w:lang w:bidi="ar"/>
        </w:rPr>
        <w:t>食用酵素生产企业的检验能力至少满足感官要求、净含量、pH、乙醇含量、特定生物活性成分（应规定不少于3项）、大肠菌群、菌落总数（适用于灭菌型产品）、乳酸菌（适用于非灭菌产品）、商业无菌（适用于罐头工艺加工的产品）。</w:t>
      </w:r>
    </w:p>
    <w:p>
      <w:pPr>
        <w:tabs>
          <w:tab w:val="left" w:pos="0"/>
          <w:tab w:val="left" w:pos="425"/>
        </w:tabs>
        <w:spacing w:line="578" w:lineRule="exact"/>
        <w:ind w:firstLine="620" w:firstLineChars="200"/>
        <w:jc w:val="left"/>
        <w:outlineLvl w:val="3"/>
        <w:rPr>
          <w:rFonts w:ascii="仿宋_GB2312" w:hAnsi="仿宋_GB2312" w:eastAsia="仿宋_GB2312" w:cs="仿宋_GB2312"/>
          <w:b w:val="0"/>
          <w:bCs w:val="0"/>
          <w:color w:val="000000"/>
          <w:kern w:val="0"/>
          <w:sz w:val="31"/>
          <w:szCs w:val="31"/>
          <w:lang w:bidi="ar"/>
        </w:rPr>
      </w:pPr>
      <w:r>
        <w:rPr>
          <w:rFonts w:hint="eastAsia" w:ascii="仿宋_GB2312" w:hAnsi="仿宋_GB2312" w:eastAsia="仿宋_GB2312" w:cs="仿宋_GB2312"/>
          <w:b w:val="0"/>
          <w:bCs w:val="0"/>
          <w:color w:val="000000"/>
          <w:kern w:val="0"/>
          <w:sz w:val="31"/>
          <w:szCs w:val="31"/>
          <w:lang w:bidi="ar"/>
        </w:rPr>
        <w:t>企业可以使用快速检测方法及设备，但应保证检测结果准确。使用快速检测方法及设备做检验时，应定期与国家标准规定的检验方法比对或者验证。快速检测结果不合格时，应使用国家标准规定的检验方法进行确认。</w:t>
      </w:r>
    </w:p>
    <w:p>
      <w:pPr>
        <w:tabs>
          <w:tab w:val="left" w:pos="0"/>
          <w:tab w:val="left" w:pos="425"/>
        </w:tabs>
        <w:spacing w:line="578" w:lineRule="exact"/>
        <w:ind w:firstLine="622" w:firstLineChars="200"/>
        <w:jc w:val="left"/>
        <w:outlineLvl w:val="3"/>
        <w:rPr>
          <w:rFonts w:ascii="仿宋" w:hAnsi="仿宋" w:eastAsia="仿宋" w:cs="仿宋"/>
          <w:b w:val="0"/>
          <w:bCs w:val="0"/>
          <w:kern w:val="0"/>
          <w:sz w:val="32"/>
          <w:szCs w:val="32"/>
        </w:rPr>
      </w:pPr>
      <w:r>
        <w:rPr>
          <w:rFonts w:hint="eastAsia" w:ascii="仿宋_GB2312" w:hAnsi="仿宋_GB2312" w:eastAsia="仿宋_GB2312" w:cs="仿宋_GB2312"/>
          <w:b/>
          <w:bCs/>
          <w:color w:val="000000"/>
          <w:kern w:val="0"/>
          <w:sz w:val="31"/>
          <w:szCs w:val="31"/>
          <w:lang w:bidi="ar"/>
        </w:rPr>
        <w:t>第三十八条</w:t>
      </w:r>
      <w:r>
        <w:rPr>
          <w:rFonts w:hint="eastAsia" w:ascii="仿宋_GB2312" w:hAnsi="仿宋_GB2312" w:eastAsia="仿宋_GB2312" w:cs="仿宋_GB2312"/>
          <w:b w:val="0"/>
          <w:bCs w:val="0"/>
          <w:color w:val="000000"/>
          <w:kern w:val="0"/>
          <w:sz w:val="31"/>
          <w:szCs w:val="31"/>
          <w:lang w:bidi="ar"/>
        </w:rPr>
        <w:t xml:space="preserve"> 企业应建立记录管理制度，对食品生产中采购、加工、贮存、检验、销售等环节详细记录。记录内容应完整、真实，确保对产品从原料采购到产品销售的所有环节都可进行有效追溯。鼓励企业采用先进技术手段如电子计算机信息系统进行产品追溯。</w:t>
      </w:r>
    </w:p>
    <w:p>
      <w:pPr>
        <w:spacing w:line="578" w:lineRule="exact"/>
        <w:ind w:firstLine="643" w:firstLineChars="200"/>
        <w:rPr>
          <w:rFonts w:ascii="仿宋" w:hAnsi="仿宋" w:eastAsia="仿宋" w:cs="仿宋"/>
          <w:b w:val="0"/>
          <w:bCs w:val="0"/>
          <w:sz w:val="32"/>
          <w:szCs w:val="32"/>
        </w:rPr>
      </w:pPr>
      <w:r>
        <w:rPr>
          <w:rFonts w:hint="eastAsia" w:ascii="仿宋" w:hAnsi="仿宋" w:eastAsia="仿宋" w:cs="仿宋"/>
          <w:b/>
          <w:bCs/>
          <w:kern w:val="0"/>
          <w:sz w:val="32"/>
          <w:szCs w:val="32"/>
        </w:rPr>
        <w:t>第三十九条</w:t>
      </w:r>
      <w:r>
        <w:rPr>
          <w:rFonts w:hint="eastAsia" w:ascii="仿宋" w:hAnsi="仿宋" w:eastAsia="仿宋" w:cs="仿宋"/>
          <w:b w:val="0"/>
          <w:bCs w:val="0"/>
          <w:kern w:val="0"/>
          <w:sz w:val="32"/>
          <w:szCs w:val="32"/>
        </w:rPr>
        <w:t xml:space="preserve"> </w:t>
      </w:r>
      <w:r>
        <w:rPr>
          <w:rFonts w:hint="eastAsia" w:ascii="仿宋" w:hAnsi="仿宋" w:eastAsia="仿宋" w:cs="仿宋"/>
          <w:b w:val="0"/>
          <w:bCs w:val="0"/>
          <w:color w:val="000000"/>
          <w:sz w:val="32"/>
          <w:szCs w:val="32"/>
        </w:rPr>
        <w:t>应建立日管控、周排查、月调度制度，确保每天生产的食品符合相关的安全、卫生和质量标准，每周至少要进行一次排查，以便及时发现和解决存在的问题，每月对自身的食品生产过程进行全面检查和调度，以确保每月的生产质量达到最高水平。</w:t>
      </w:r>
    </w:p>
    <w:p>
      <w:pPr>
        <w:tabs>
          <w:tab w:val="left" w:pos="8820"/>
        </w:tabs>
        <w:spacing w:before="240" w:line="578" w:lineRule="exact"/>
        <w:jc w:val="center"/>
        <w:rPr>
          <w:rFonts w:ascii="黑体" w:hAnsi="黑体" w:eastAsia="黑体" w:cs="仿宋"/>
          <w:b w:val="0"/>
          <w:bCs w:val="0"/>
          <w:kern w:val="0"/>
          <w:sz w:val="32"/>
          <w:szCs w:val="32"/>
        </w:rPr>
      </w:pPr>
      <w:r>
        <w:rPr>
          <w:rFonts w:hint="eastAsia" w:ascii="黑体" w:hAnsi="黑体" w:eastAsia="黑体" w:cs="仿宋"/>
          <w:b w:val="0"/>
          <w:bCs w:val="0"/>
          <w:kern w:val="0"/>
          <w:sz w:val="32"/>
          <w:szCs w:val="32"/>
        </w:rPr>
        <w:t>第七章 试制产品检验合格报告</w:t>
      </w:r>
    </w:p>
    <w:p>
      <w:pPr>
        <w:spacing w:line="578" w:lineRule="exact"/>
        <w:ind w:firstLine="643" w:firstLineChars="200"/>
        <w:rPr>
          <w:rFonts w:ascii="仿宋" w:hAnsi="仿宋" w:eastAsia="仿宋" w:cs="仿宋"/>
          <w:b w:val="0"/>
          <w:bCs w:val="0"/>
          <w:kern w:val="0"/>
          <w:sz w:val="32"/>
          <w:szCs w:val="32"/>
        </w:rPr>
      </w:pPr>
      <w:r>
        <w:rPr>
          <w:rFonts w:hint="eastAsia" w:ascii="仿宋" w:hAnsi="仿宋" w:eastAsia="仿宋" w:cs="仿宋"/>
          <w:b/>
          <w:bCs/>
          <w:kern w:val="0"/>
          <w:sz w:val="32"/>
          <w:szCs w:val="32"/>
        </w:rPr>
        <w:t>第四十条</w:t>
      </w:r>
      <w:r>
        <w:rPr>
          <w:rFonts w:hint="eastAsia" w:ascii="仿宋" w:hAnsi="仿宋" w:eastAsia="仿宋" w:cs="仿宋"/>
          <w:b w:val="0"/>
          <w:bCs w:val="0"/>
          <w:kern w:val="0"/>
          <w:sz w:val="32"/>
          <w:szCs w:val="32"/>
        </w:rPr>
        <w:t xml:space="preserve"> 企业提供试制产品的检验合格报告。试制产品检验合格报告</w:t>
      </w:r>
      <w:r>
        <w:rPr>
          <w:rFonts w:hint="eastAsia" w:ascii="仿宋" w:hAnsi="仿宋" w:eastAsia="仿宋" w:cs="仿宋"/>
          <w:b w:val="0"/>
          <w:bCs w:val="0"/>
          <w:kern w:val="0"/>
          <w:sz w:val="32"/>
          <w:szCs w:val="32"/>
          <w:lang w:val="en-US" w:eastAsia="zh-CN"/>
        </w:rPr>
        <w:t>应当由</w:t>
      </w:r>
      <w:r>
        <w:rPr>
          <w:rFonts w:hint="eastAsia" w:ascii="仿宋" w:hAnsi="仿宋" w:eastAsia="仿宋" w:cs="仿宋"/>
          <w:b w:val="0"/>
          <w:bCs w:val="0"/>
          <w:kern w:val="0"/>
          <w:sz w:val="32"/>
          <w:szCs w:val="32"/>
        </w:rPr>
        <w:t>有资质的食品检验机构出具</w:t>
      </w: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lang w:val="en-US" w:eastAsia="zh-CN"/>
        </w:rPr>
        <w:t>企业应对检验报告的真实性负责</w:t>
      </w:r>
      <w:r>
        <w:rPr>
          <w:rFonts w:hint="eastAsia" w:ascii="仿宋" w:hAnsi="仿宋" w:eastAsia="仿宋" w:cs="仿宋"/>
          <w:b w:val="0"/>
          <w:bCs w:val="0"/>
          <w:kern w:val="0"/>
          <w:sz w:val="32"/>
          <w:szCs w:val="32"/>
        </w:rPr>
        <w:t>。检验项目按产品适用的食品安全国家标准、行业标准、企业标准及国务院卫生行政部门的相关公告要求进行。</w:t>
      </w:r>
    </w:p>
    <w:p>
      <w:pPr>
        <w:spacing w:line="578" w:lineRule="exact"/>
        <w:ind w:firstLine="640" w:firstLineChars="200"/>
        <w:jc w:val="center"/>
        <w:rPr>
          <w:rFonts w:ascii="黑体" w:hAnsi="黑体" w:eastAsia="黑体" w:cs="仿宋"/>
          <w:b w:val="0"/>
          <w:bCs w:val="0"/>
          <w:color w:val="000000"/>
          <w:sz w:val="32"/>
          <w:szCs w:val="32"/>
        </w:rPr>
      </w:pPr>
      <w:r>
        <w:rPr>
          <w:rFonts w:hint="eastAsia" w:ascii="黑体" w:hAnsi="黑体" w:eastAsia="黑体" w:cs="仿宋"/>
          <w:b w:val="0"/>
          <w:bCs w:val="0"/>
          <w:kern w:val="0"/>
          <w:sz w:val="32"/>
          <w:szCs w:val="32"/>
        </w:rPr>
        <w:t>第八章 附则</w:t>
      </w:r>
    </w:p>
    <w:p>
      <w:pPr>
        <w:tabs>
          <w:tab w:val="left" w:pos="0"/>
          <w:tab w:val="left" w:pos="425"/>
        </w:tabs>
        <w:spacing w:line="578" w:lineRule="exact"/>
        <w:ind w:firstLine="643" w:firstLineChars="200"/>
        <w:jc w:val="left"/>
        <w:outlineLvl w:val="3"/>
        <w:rPr>
          <w:rFonts w:ascii="仿宋" w:hAnsi="仿宋" w:eastAsia="仿宋" w:cs="仿宋"/>
          <w:b w:val="0"/>
          <w:bCs w:val="0"/>
          <w:color w:val="000000"/>
          <w:sz w:val="32"/>
          <w:szCs w:val="32"/>
        </w:rPr>
      </w:pPr>
      <w:r>
        <w:rPr>
          <w:rFonts w:hint="eastAsia" w:ascii="仿宋" w:hAnsi="仿宋" w:eastAsia="仿宋" w:cs="仿宋"/>
          <w:b/>
          <w:bCs/>
          <w:kern w:val="0"/>
          <w:sz w:val="32"/>
          <w:szCs w:val="32"/>
        </w:rPr>
        <w:t>第四十一条</w:t>
      </w:r>
      <w:r>
        <w:rPr>
          <w:rFonts w:hint="eastAsia" w:ascii="仿宋" w:hAnsi="仿宋" w:eastAsia="仿宋" w:cs="仿宋"/>
          <w:b w:val="0"/>
          <w:bCs w:val="0"/>
          <w:kern w:val="0"/>
          <w:sz w:val="32"/>
          <w:szCs w:val="32"/>
        </w:rPr>
        <w:t xml:space="preserve"> 本方案自</w:t>
      </w:r>
      <w:r>
        <w:rPr>
          <w:rFonts w:hint="eastAsia" w:ascii="仿宋" w:hAnsi="仿宋" w:eastAsia="仿宋" w:cs="仿宋"/>
          <w:b w:val="0"/>
          <w:bCs w:val="0"/>
          <w:sz w:val="32"/>
          <w:szCs w:val="32"/>
        </w:rPr>
        <w:t>发布之</w:t>
      </w:r>
      <w:r>
        <w:rPr>
          <w:rFonts w:hint="eastAsia" w:ascii="仿宋" w:hAnsi="仿宋" w:eastAsia="仿宋" w:cs="仿宋"/>
          <w:b w:val="0"/>
          <w:bCs w:val="0"/>
          <w:kern w:val="0"/>
          <w:sz w:val="32"/>
          <w:szCs w:val="32"/>
        </w:rPr>
        <w:t>日起施行。</w:t>
      </w:r>
    </w:p>
    <w:bookmarkEnd w:id="0"/>
    <w:bookmarkEnd w:id="10"/>
    <w:p>
      <w:pPr>
        <w:pStyle w:val="21"/>
        <w:spacing w:line="578" w:lineRule="exact"/>
        <w:ind w:firstLine="640"/>
        <w:rPr>
          <w:rFonts w:ascii="仿宋" w:hAnsi="仿宋" w:eastAsia="仿宋" w:cs="仿宋"/>
          <w:b w:val="0"/>
          <w:bCs w:val="0"/>
          <w:sz w:val="32"/>
          <w:szCs w:val="32"/>
        </w:rPr>
      </w:pPr>
    </w:p>
    <w:p>
      <w:pPr>
        <w:pStyle w:val="21"/>
        <w:spacing w:line="578" w:lineRule="exact"/>
        <w:ind w:firstLine="640"/>
        <w:rPr>
          <w:rFonts w:ascii="仿宋" w:hAnsi="仿宋" w:eastAsia="仿宋" w:cs="仿宋"/>
          <w:b w:val="0"/>
          <w:bCs w:val="0"/>
          <w:sz w:val="32"/>
          <w:szCs w:val="32"/>
        </w:rPr>
      </w:pPr>
      <w:r>
        <w:rPr>
          <w:rFonts w:hint="eastAsia" w:ascii="仿宋" w:hAnsi="仿宋" w:eastAsia="仿宋" w:cs="仿宋"/>
          <w:b w:val="0"/>
          <w:bCs w:val="0"/>
          <w:sz w:val="32"/>
          <w:szCs w:val="32"/>
        </w:rPr>
        <w:t>附件：1.</w:t>
      </w:r>
      <w:r>
        <w:rPr>
          <w:rFonts w:hint="eastAsia" w:ascii="仿宋" w:hAnsi="仿宋" w:eastAsia="仿宋" w:cs="仿宋"/>
          <w:b w:val="0"/>
          <w:bCs w:val="0"/>
          <w:sz w:val="32"/>
          <w:szCs w:val="32"/>
          <w:lang w:eastAsia="zh-CN"/>
        </w:rPr>
        <w:t>本方案</w:t>
      </w:r>
      <w:r>
        <w:rPr>
          <w:rFonts w:hint="eastAsia" w:ascii="仿宋" w:hAnsi="仿宋" w:eastAsia="仿宋" w:cs="仿宋"/>
          <w:b w:val="0"/>
          <w:bCs w:val="0"/>
          <w:sz w:val="32"/>
          <w:szCs w:val="32"/>
          <w:lang w:val="en-US" w:eastAsia="zh-CN"/>
        </w:rPr>
        <w:t>参考</w:t>
      </w:r>
      <w:r>
        <w:rPr>
          <w:rFonts w:hint="eastAsia" w:ascii="仿宋" w:hAnsi="仿宋" w:eastAsia="仿宋" w:cs="仿宋"/>
          <w:b w:val="0"/>
          <w:bCs w:val="0"/>
          <w:sz w:val="32"/>
          <w:szCs w:val="32"/>
        </w:rPr>
        <w:t>的主要标准</w:t>
      </w:r>
    </w:p>
    <w:p>
      <w:pPr>
        <w:pStyle w:val="21"/>
        <w:spacing w:line="578" w:lineRule="exact"/>
        <w:ind w:firstLine="1600" w:firstLineChars="500"/>
        <w:rPr>
          <w:rFonts w:ascii="仿宋" w:hAnsi="仿宋" w:eastAsia="仿宋" w:cs="仿宋"/>
          <w:b w:val="0"/>
          <w:bCs w:val="0"/>
          <w:sz w:val="32"/>
          <w:szCs w:val="32"/>
        </w:rPr>
      </w:pPr>
      <w:r>
        <w:rPr>
          <w:rFonts w:hint="eastAsia" w:ascii="仿宋" w:hAnsi="仿宋" w:eastAsia="仿宋" w:cs="仿宋"/>
          <w:b w:val="0"/>
          <w:bCs w:val="0"/>
          <w:sz w:val="32"/>
          <w:szCs w:val="32"/>
        </w:rPr>
        <w:t>2.</w:t>
      </w:r>
      <w:r>
        <w:rPr>
          <w:rFonts w:hint="eastAsia" w:ascii="仿宋" w:hAnsi="仿宋" w:eastAsia="仿宋" w:cs="仿宋"/>
          <w:b w:val="0"/>
          <w:bCs w:val="0"/>
          <w:sz w:val="32"/>
          <w:szCs w:val="32"/>
          <w:lang w:eastAsia="zh-CN"/>
        </w:rPr>
        <w:t>本方案</w:t>
      </w:r>
      <w:r>
        <w:rPr>
          <w:rFonts w:hint="eastAsia" w:ascii="仿宋" w:hAnsi="仿宋" w:eastAsia="仿宋" w:cs="仿宋"/>
          <w:b w:val="0"/>
          <w:bCs w:val="0"/>
          <w:sz w:val="32"/>
          <w:szCs w:val="32"/>
          <w:lang w:val="en-US" w:eastAsia="zh-CN"/>
        </w:rPr>
        <w:t>参考</w:t>
      </w:r>
      <w:r>
        <w:rPr>
          <w:rFonts w:hint="eastAsia" w:ascii="仿宋" w:hAnsi="仿宋" w:eastAsia="仿宋" w:cs="仿宋"/>
          <w:b w:val="0"/>
          <w:bCs w:val="0"/>
          <w:sz w:val="32"/>
          <w:szCs w:val="32"/>
        </w:rPr>
        <w:t>的检验项目与方法</w:t>
      </w:r>
    </w:p>
    <w:p>
      <w:pPr>
        <w:pStyle w:val="21"/>
        <w:spacing w:line="578" w:lineRule="exact"/>
        <w:ind w:firstLine="1600" w:firstLineChars="500"/>
        <w:rPr>
          <w:rFonts w:ascii="仿宋" w:hAnsi="仿宋" w:eastAsia="仿宋" w:cs="仿宋"/>
          <w:b w:val="0"/>
          <w:bCs w:val="0"/>
          <w:sz w:val="32"/>
          <w:szCs w:val="32"/>
        </w:rPr>
      </w:pPr>
    </w:p>
    <w:p>
      <w:pPr>
        <w:pStyle w:val="21"/>
        <w:spacing w:line="578" w:lineRule="exact"/>
        <w:ind w:firstLine="1600" w:firstLineChars="500"/>
        <w:rPr>
          <w:rFonts w:ascii="仿宋" w:hAnsi="仿宋" w:eastAsia="仿宋" w:cs="仿宋"/>
          <w:b w:val="0"/>
          <w:bCs w:val="0"/>
          <w:sz w:val="32"/>
          <w:szCs w:val="32"/>
        </w:rPr>
      </w:pPr>
    </w:p>
    <w:p>
      <w:pPr>
        <w:pStyle w:val="21"/>
        <w:spacing w:line="578" w:lineRule="exact"/>
        <w:ind w:firstLine="1600" w:firstLineChars="500"/>
        <w:rPr>
          <w:rFonts w:ascii="仿宋" w:hAnsi="仿宋" w:eastAsia="仿宋" w:cs="仿宋"/>
          <w:b w:val="0"/>
          <w:bCs w:val="0"/>
          <w:sz w:val="32"/>
          <w:szCs w:val="32"/>
        </w:rPr>
      </w:pPr>
    </w:p>
    <w:p>
      <w:pPr>
        <w:pStyle w:val="21"/>
        <w:spacing w:line="578" w:lineRule="exact"/>
        <w:ind w:firstLine="1600" w:firstLineChars="500"/>
        <w:rPr>
          <w:rFonts w:ascii="仿宋" w:hAnsi="仿宋" w:eastAsia="仿宋" w:cs="仿宋"/>
          <w:b w:val="0"/>
          <w:bCs w:val="0"/>
          <w:sz w:val="32"/>
          <w:szCs w:val="32"/>
        </w:rPr>
      </w:pPr>
    </w:p>
    <w:p>
      <w:pPr>
        <w:pStyle w:val="21"/>
        <w:spacing w:line="578" w:lineRule="exact"/>
        <w:ind w:firstLine="1600" w:firstLineChars="500"/>
        <w:rPr>
          <w:rFonts w:ascii="仿宋" w:hAnsi="仿宋" w:eastAsia="仿宋" w:cs="仿宋"/>
          <w:b w:val="0"/>
          <w:bCs w:val="0"/>
          <w:sz w:val="32"/>
          <w:szCs w:val="32"/>
        </w:rPr>
      </w:pPr>
    </w:p>
    <w:p>
      <w:pPr>
        <w:pStyle w:val="21"/>
        <w:spacing w:line="578" w:lineRule="exact"/>
        <w:ind w:firstLine="1600" w:firstLineChars="500"/>
        <w:rPr>
          <w:rFonts w:ascii="仿宋" w:hAnsi="仿宋" w:eastAsia="仿宋" w:cs="仿宋"/>
          <w:b w:val="0"/>
          <w:bCs w:val="0"/>
          <w:sz w:val="32"/>
          <w:szCs w:val="32"/>
        </w:rPr>
      </w:pPr>
    </w:p>
    <w:p>
      <w:pPr>
        <w:pStyle w:val="21"/>
        <w:spacing w:line="578" w:lineRule="exact"/>
        <w:ind w:firstLine="1600" w:firstLineChars="500"/>
        <w:rPr>
          <w:rFonts w:ascii="仿宋" w:hAnsi="仿宋" w:eastAsia="仿宋" w:cs="仿宋"/>
          <w:b w:val="0"/>
          <w:bCs w:val="0"/>
          <w:sz w:val="32"/>
          <w:szCs w:val="32"/>
        </w:rPr>
      </w:pPr>
    </w:p>
    <w:p>
      <w:pPr>
        <w:pStyle w:val="21"/>
        <w:spacing w:line="578" w:lineRule="exact"/>
        <w:ind w:firstLine="1600" w:firstLineChars="500"/>
        <w:rPr>
          <w:rFonts w:ascii="仿宋" w:hAnsi="仿宋" w:eastAsia="仿宋" w:cs="仿宋"/>
          <w:b w:val="0"/>
          <w:bCs w:val="0"/>
          <w:sz w:val="32"/>
          <w:szCs w:val="32"/>
        </w:rPr>
      </w:pPr>
    </w:p>
    <w:p>
      <w:pPr>
        <w:pStyle w:val="21"/>
        <w:spacing w:line="578" w:lineRule="exact"/>
        <w:ind w:firstLine="1600" w:firstLineChars="500"/>
        <w:rPr>
          <w:rFonts w:ascii="仿宋" w:hAnsi="仿宋" w:eastAsia="仿宋" w:cs="仿宋"/>
          <w:b w:val="0"/>
          <w:bCs w:val="0"/>
          <w:sz w:val="32"/>
          <w:szCs w:val="32"/>
        </w:rPr>
      </w:pPr>
    </w:p>
    <w:p>
      <w:pPr>
        <w:pStyle w:val="21"/>
        <w:spacing w:line="578" w:lineRule="exact"/>
        <w:ind w:firstLine="1600" w:firstLineChars="500"/>
        <w:rPr>
          <w:rFonts w:ascii="仿宋" w:hAnsi="仿宋" w:eastAsia="仿宋" w:cs="仿宋"/>
          <w:b w:val="0"/>
          <w:bCs w:val="0"/>
          <w:sz w:val="32"/>
          <w:szCs w:val="32"/>
        </w:rPr>
      </w:pPr>
    </w:p>
    <w:p>
      <w:pPr>
        <w:widowControl/>
        <w:jc w:val="left"/>
        <w:rPr>
          <w:rFonts w:hint="eastAsia" w:ascii="黑体" w:hAnsi="黑体" w:eastAsia="黑体" w:cs="黑体"/>
          <w:b w:val="0"/>
          <w:bCs w:val="0"/>
          <w:kern w:val="0"/>
          <w:sz w:val="32"/>
          <w:szCs w:val="32"/>
        </w:rPr>
      </w:pPr>
    </w:p>
    <w:p>
      <w:pPr>
        <w:widowControl/>
        <w:jc w:val="left"/>
        <w:rPr>
          <w:rFonts w:hint="eastAsia" w:ascii="黑体" w:hAnsi="黑体" w:eastAsia="黑体" w:cs="黑体"/>
          <w:b w:val="0"/>
          <w:bCs w:val="0"/>
          <w:kern w:val="0"/>
          <w:sz w:val="32"/>
          <w:szCs w:val="32"/>
        </w:rPr>
      </w:pPr>
    </w:p>
    <w:p>
      <w:pPr>
        <w:widowControl/>
        <w:jc w:val="left"/>
        <w:rPr>
          <w:rFonts w:hint="eastAsia" w:ascii="黑体" w:hAnsi="黑体" w:eastAsia="黑体" w:cs="黑体"/>
          <w:b w:val="0"/>
          <w:bCs w:val="0"/>
          <w:kern w:val="0"/>
          <w:sz w:val="32"/>
          <w:szCs w:val="32"/>
        </w:rPr>
      </w:pPr>
    </w:p>
    <w:p>
      <w:pPr>
        <w:widowControl/>
        <w:jc w:val="left"/>
        <w:rPr>
          <w:rFonts w:hint="eastAsia" w:ascii="黑体" w:hAnsi="黑体" w:eastAsia="黑体" w:cs="黑体"/>
          <w:b w:val="0"/>
          <w:bCs w:val="0"/>
          <w:kern w:val="0"/>
          <w:sz w:val="32"/>
          <w:szCs w:val="32"/>
        </w:rPr>
      </w:pPr>
    </w:p>
    <w:p>
      <w:pPr>
        <w:widowControl/>
        <w:jc w:val="left"/>
        <w:rPr>
          <w:rFonts w:hint="eastAsia" w:ascii="黑体" w:hAnsi="黑体" w:eastAsia="黑体" w:cs="黑体"/>
          <w:b w:val="0"/>
          <w:bCs w:val="0"/>
          <w:kern w:val="0"/>
          <w:sz w:val="32"/>
          <w:szCs w:val="32"/>
        </w:rPr>
      </w:pPr>
    </w:p>
    <w:p>
      <w:pPr>
        <w:widowControl/>
        <w:jc w:val="left"/>
        <w:rPr>
          <w:rFonts w:hint="eastAsia" w:ascii="黑体" w:hAnsi="黑体" w:eastAsia="黑体" w:cs="黑体"/>
          <w:b w:val="0"/>
          <w:bCs w:val="0"/>
          <w:kern w:val="0"/>
          <w:sz w:val="32"/>
          <w:szCs w:val="32"/>
        </w:rPr>
      </w:pPr>
    </w:p>
    <w:p>
      <w:pPr>
        <w:widowControl/>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附件1</w:t>
      </w:r>
    </w:p>
    <w:p>
      <w:pPr>
        <w:widowControl/>
        <w:jc w:val="center"/>
        <w:rPr>
          <w:rFonts w:ascii="仿宋" w:hAnsi="仿宋" w:eastAsia="仿宋" w:cs="宋体"/>
          <w:b w:val="0"/>
          <w:bCs w:val="0"/>
          <w:kern w:val="0"/>
          <w:sz w:val="32"/>
          <w:szCs w:val="32"/>
        </w:rPr>
      </w:pPr>
      <w:r>
        <w:rPr>
          <w:rFonts w:hint="eastAsia" w:ascii="仿宋" w:hAnsi="仿宋" w:eastAsia="仿宋" w:cs="宋体"/>
          <w:b w:val="0"/>
          <w:bCs w:val="0"/>
          <w:kern w:val="0"/>
          <w:sz w:val="32"/>
          <w:szCs w:val="32"/>
          <w:lang w:eastAsia="zh-CN"/>
        </w:rPr>
        <w:t>本方案</w:t>
      </w:r>
      <w:r>
        <w:rPr>
          <w:rFonts w:hint="eastAsia" w:ascii="仿宋" w:hAnsi="仿宋" w:eastAsia="仿宋" w:cs="宋体"/>
          <w:b w:val="0"/>
          <w:bCs w:val="0"/>
          <w:kern w:val="0"/>
          <w:sz w:val="32"/>
          <w:szCs w:val="32"/>
          <w:lang w:val="en-US" w:eastAsia="zh-CN"/>
        </w:rPr>
        <w:t>参考</w:t>
      </w:r>
      <w:r>
        <w:rPr>
          <w:rFonts w:hint="eastAsia" w:ascii="仿宋" w:hAnsi="仿宋" w:eastAsia="仿宋" w:cs="宋体"/>
          <w:b w:val="0"/>
          <w:bCs w:val="0"/>
          <w:kern w:val="0"/>
          <w:sz w:val="32"/>
          <w:szCs w:val="32"/>
        </w:rPr>
        <w:t>的主要标准</w:t>
      </w:r>
    </w:p>
    <w:tbl>
      <w:tblPr>
        <w:tblStyle w:val="9"/>
        <w:tblW w:w="9206"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85"/>
        <w:gridCol w:w="2409"/>
        <w:gridCol w:w="581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44" w:hRule="atLeast"/>
          <w:jc w:val="center"/>
        </w:trPr>
        <w:tc>
          <w:tcPr>
            <w:tcW w:w="98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jc w:val="center"/>
              <w:rPr>
                <w:rFonts w:ascii="仿宋" w:hAnsi="仿宋" w:eastAsia="仿宋" w:cs="宋体"/>
                <w:b w:val="0"/>
                <w:bCs w:val="0"/>
                <w:kern w:val="0"/>
                <w:sz w:val="32"/>
                <w:szCs w:val="32"/>
              </w:rPr>
            </w:pPr>
            <w:r>
              <w:rPr>
                <w:rFonts w:ascii="仿宋" w:hAnsi="仿宋" w:eastAsia="仿宋" w:cs="宋体"/>
                <w:b w:val="0"/>
                <w:bCs w:val="0"/>
                <w:kern w:val="0"/>
                <w:sz w:val="32"/>
                <w:szCs w:val="32"/>
              </w:rPr>
              <w:t>序号</w:t>
            </w:r>
          </w:p>
        </w:tc>
        <w:tc>
          <w:tcPr>
            <w:tcW w:w="240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jc w:val="center"/>
              <w:rPr>
                <w:rFonts w:ascii="仿宋" w:hAnsi="仿宋" w:eastAsia="仿宋" w:cs="宋体"/>
                <w:b w:val="0"/>
                <w:bCs w:val="0"/>
                <w:kern w:val="0"/>
                <w:sz w:val="32"/>
                <w:szCs w:val="32"/>
              </w:rPr>
            </w:pPr>
            <w:r>
              <w:rPr>
                <w:rFonts w:ascii="仿宋" w:hAnsi="仿宋" w:eastAsia="仿宋" w:cs="宋体"/>
                <w:b w:val="0"/>
                <w:bCs w:val="0"/>
                <w:kern w:val="0"/>
                <w:sz w:val="32"/>
                <w:szCs w:val="32"/>
              </w:rPr>
              <w:t>标准号</w:t>
            </w:r>
          </w:p>
        </w:tc>
        <w:tc>
          <w:tcPr>
            <w:tcW w:w="5812"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jc w:val="center"/>
              <w:rPr>
                <w:rFonts w:ascii="仿宋" w:hAnsi="仿宋" w:eastAsia="仿宋" w:cs="宋体"/>
                <w:b w:val="0"/>
                <w:bCs w:val="0"/>
                <w:kern w:val="0"/>
                <w:sz w:val="32"/>
                <w:szCs w:val="32"/>
              </w:rPr>
            </w:pPr>
            <w:r>
              <w:rPr>
                <w:rFonts w:ascii="仿宋" w:hAnsi="仿宋" w:eastAsia="仿宋" w:cs="宋体"/>
                <w:b w:val="0"/>
                <w:bCs w:val="0"/>
                <w:kern w:val="0"/>
                <w:sz w:val="32"/>
                <w:szCs w:val="32"/>
              </w:rPr>
              <w:t>标准名称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4" w:hRule="atLeast"/>
          <w:jc w:val="center"/>
        </w:trPr>
        <w:tc>
          <w:tcPr>
            <w:tcW w:w="98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1</w:t>
            </w:r>
          </w:p>
        </w:tc>
        <w:tc>
          <w:tcPr>
            <w:tcW w:w="240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QB/T 5323</w:t>
            </w:r>
          </w:p>
        </w:tc>
        <w:tc>
          <w:tcPr>
            <w:tcW w:w="5812"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植物酵素</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2</w:t>
            </w:r>
          </w:p>
        </w:tc>
        <w:tc>
          <w:tcPr>
            <w:tcW w:w="240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QB/T 5324</w:t>
            </w:r>
          </w:p>
        </w:tc>
        <w:tc>
          <w:tcPr>
            <w:tcW w:w="5812"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酵素产品分类导则</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3</w:t>
            </w:r>
          </w:p>
        </w:tc>
        <w:tc>
          <w:tcPr>
            <w:tcW w:w="240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QB/T 5356</w:t>
            </w:r>
          </w:p>
        </w:tc>
        <w:tc>
          <w:tcPr>
            <w:tcW w:w="5812"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hint="eastAsia" w:ascii="仿宋" w:hAnsi="仿宋" w:eastAsia="仿宋" w:cs="宋体"/>
                <w:b w:val="0"/>
                <w:bCs w:val="0"/>
                <w:kern w:val="0"/>
                <w:sz w:val="28"/>
                <w:szCs w:val="28"/>
              </w:rPr>
              <w:t>果蔬发酵汁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4</w:t>
            </w:r>
          </w:p>
        </w:tc>
        <w:tc>
          <w:tcPr>
            <w:tcW w:w="240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T/CBFIA 08001</w:t>
            </w:r>
          </w:p>
        </w:tc>
        <w:tc>
          <w:tcPr>
            <w:tcW w:w="5812"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酵素产品分类导则</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5</w:t>
            </w:r>
          </w:p>
        </w:tc>
        <w:tc>
          <w:tcPr>
            <w:tcW w:w="240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T/CBFIA 08002</w:t>
            </w:r>
          </w:p>
        </w:tc>
        <w:tc>
          <w:tcPr>
            <w:tcW w:w="5812"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食用酵素良好生产规范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6</w:t>
            </w:r>
          </w:p>
        </w:tc>
        <w:tc>
          <w:tcPr>
            <w:tcW w:w="240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T/CBFIA 08003</w:t>
            </w:r>
          </w:p>
        </w:tc>
        <w:tc>
          <w:tcPr>
            <w:tcW w:w="5812"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食用植物酵素</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7</w:t>
            </w:r>
          </w:p>
        </w:tc>
        <w:tc>
          <w:tcPr>
            <w:tcW w:w="240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2760</w:t>
            </w:r>
          </w:p>
        </w:tc>
        <w:tc>
          <w:tcPr>
            <w:tcW w:w="5812"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食品安全国家标准 食品添加剂使用标准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8</w:t>
            </w:r>
          </w:p>
        </w:tc>
        <w:tc>
          <w:tcPr>
            <w:tcW w:w="240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2761</w:t>
            </w:r>
          </w:p>
        </w:tc>
        <w:tc>
          <w:tcPr>
            <w:tcW w:w="5812"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食品安全国家标准 食品中真菌毒素限量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9</w:t>
            </w:r>
          </w:p>
        </w:tc>
        <w:tc>
          <w:tcPr>
            <w:tcW w:w="240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2762</w:t>
            </w:r>
          </w:p>
        </w:tc>
        <w:tc>
          <w:tcPr>
            <w:tcW w:w="5812"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食品安全国家标准 食品中污染物限量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10</w:t>
            </w:r>
          </w:p>
        </w:tc>
        <w:tc>
          <w:tcPr>
            <w:tcW w:w="240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2763</w:t>
            </w:r>
          </w:p>
        </w:tc>
        <w:tc>
          <w:tcPr>
            <w:tcW w:w="5812"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食品安全国家标准 食品中农药最大残留限量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11</w:t>
            </w:r>
          </w:p>
        </w:tc>
        <w:tc>
          <w:tcPr>
            <w:tcW w:w="240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5749</w:t>
            </w:r>
          </w:p>
        </w:tc>
        <w:tc>
          <w:tcPr>
            <w:tcW w:w="5812"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生活饮用水卫生标准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12</w:t>
            </w:r>
          </w:p>
        </w:tc>
        <w:tc>
          <w:tcPr>
            <w:tcW w:w="240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7718</w:t>
            </w:r>
          </w:p>
        </w:tc>
        <w:tc>
          <w:tcPr>
            <w:tcW w:w="5812"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食品安全国家标准 预包装食品标签通则</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13</w:t>
            </w:r>
          </w:p>
        </w:tc>
        <w:tc>
          <w:tcPr>
            <w:tcW w:w="240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14880</w:t>
            </w:r>
          </w:p>
        </w:tc>
        <w:tc>
          <w:tcPr>
            <w:tcW w:w="5812"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食品安全国家标准 食品营养强化剂使用标准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14</w:t>
            </w:r>
          </w:p>
        </w:tc>
        <w:tc>
          <w:tcPr>
            <w:tcW w:w="240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14881</w:t>
            </w:r>
          </w:p>
        </w:tc>
        <w:tc>
          <w:tcPr>
            <w:tcW w:w="5812"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食品安全国家标准 食品生产通用卫生规范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15</w:t>
            </w:r>
          </w:p>
        </w:tc>
        <w:tc>
          <w:tcPr>
            <w:tcW w:w="240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28050</w:t>
            </w:r>
          </w:p>
        </w:tc>
        <w:tc>
          <w:tcPr>
            <w:tcW w:w="5812"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食品安全国家标准 预包装食品营养标签通则</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16</w:t>
            </w:r>
          </w:p>
        </w:tc>
        <w:tc>
          <w:tcPr>
            <w:tcW w:w="240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29921</w:t>
            </w:r>
          </w:p>
        </w:tc>
        <w:tc>
          <w:tcPr>
            <w:tcW w:w="5812"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食品安全国家标准 食品中致病菌限量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val="0"/>
                <w:bCs w:val="0"/>
                <w:kern w:val="0"/>
                <w:sz w:val="28"/>
                <w:szCs w:val="28"/>
              </w:rPr>
            </w:pPr>
            <w:r>
              <w:rPr>
                <w:rFonts w:hint="eastAsia" w:ascii="仿宋" w:hAnsi="仿宋" w:eastAsia="仿宋" w:cs="宋体"/>
                <w:b w:val="0"/>
                <w:bCs w:val="0"/>
                <w:kern w:val="0"/>
                <w:sz w:val="28"/>
                <w:szCs w:val="28"/>
              </w:rPr>
              <w:t>1</w:t>
            </w:r>
            <w:r>
              <w:rPr>
                <w:rFonts w:ascii="仿宋" w:hAnsi="仿宋" w:eastAsia="仿宋" w:cs="宋体"/>
                <w:b w:val="0"/>
                <w:bCs w:val="0"/>
                <w:kern w:val="0"/>
                <w:sz w:val="28"/>
                <w:szCs w:val="28"/>
              </w:rPr>
              <w:t>7</w:t>
            </w:r>
          </w:p>
        </w:tc>
        <w:tc>
          <w:tcPr>
            <w:tcW w:w="240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31650</w:t>
            </w:r>
          </w:p>
        </w:tc>
        <w:tc>
          <w:tcPr>
            <w:tcW w:w="5812"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《食品安全国家标准 食品中兽药最大残留限量》</w:t>
            </w:r>
          </w:p>
        </w:tc>
      </w:tr>
    </w:tbl>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黑体" w:hAnsi="黑体" w:eastAsia="黑体" w:cs="黑体"/>
          <w:b w:val="0"/>
          <w:bCs w:val="0"/>
          <w:kern w:val="0"/>
          <w:sz w:val="32"/>
          <w:szCs w:val="32"/>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黑体" w:hAnsi="黑体" w:eastAsia="黑体" w:cs="黑体"/>
          <w:b w:val="0"/>
          <w:bCs w:val="0"/>
          <w:kern w:val="0"/>
          <w:sz w:val="32"/>
          <w:szCs w:val="32"/>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附件2</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val="0"/>
          <w:bCs w:val="0"/>
          <w:kern w:val="0"/>
          <w:sz w:val="32"/>
          <w:szCs w:val="32"/>
        </w:rPr>
      </w:pPr>
      <w:r>
        <w:rPr>
          <w:rFonts w:hint="eastAsia" w:ascii="仿宋" w:hAnsi="仿宋" w:eastAsia="仿宋" w:cs="宋体"/>
          <w:b w:val="0"/>
          <w:bCs w:val="0"/>
          <w:kern w:val="0"/>
          <w:sz w:val="32"/>
          <w:szCs w:val="32"/>
          <w:lang w:val="en-US" w:eastAsia="zh-CN"/>
        </w:rPr>
        <w:t xml:space="preserve">   </w:t>
      </w:r>
      <w:r>
        <w:rPr>
          <w:rFonts w:hint="eastAsia" w:ascii="仿宋" w:hAnsi="仿宋" w:eastAsia="仿宋" w:cs="宋体"/>
          <w:b w:val="0"/>
          <w:bCs w:val="0"/>
          <w:kern w:val="0"/>
          <w:sz w:val="32"/>
          <w:szCs w:val="32"/>
          <w:lang w:eastAsia="zh-CN"/>
        </w:rPr>
        <w:t>本方案</w:t>
      </w:r>
      <w:r>
        <w:rPr>
          <w:rFonts w:hint="eastAsia" w:ascii="仿宋" w:hAnsi="仿宋" w:eastAsia="仿宋" w:cs="宋体"/>
          <w:b w:val="0"/>
          <w:bCs w:val="0"/>
          <w:kern w:val="0"/>
          <w:sz w:val="32"/>
          <w:szCs w:val="32"/>
          <w:lang w:val="en-US" w:eastAsia="zh-CN"/>
        </w:rPr>
        <w:t>参考</w:t>
      </w:r>
      <w:r>
        <w:rPr>
          <w:rFonts w:hint="eastAsia" w:ascii="仿宋" w:hAnsi="仿宋" w:eastAsia="仿宋" w:cs="宋体"/>
          <w:b w:val="0"/>
          <w:bCs w:val="0"/>
          <w:kern w:val="0"/>
          <w:sz w:val="32"/>
          <w:szCs w:val="32"/>
        </w:rPr>
        <w:t>的检验项目与方法</w:t>
      </w:r>
    </w:p>
    <w:tbl>
      <w:tblPr>
        <w:tblStyle w:val="9"/>
        <w:tblW w:w="9206"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24"/>
        <w:gridCol w:w="1478"/>
        <w:gridCol w:w="1434"/>
        <w:gridCol w:w="1715"/>
        <w:gridCol w:w="2096"/>
        <w:gridCol w:w="155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jc w:val="center"/>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序号</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jc w:val="center"/>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检验项目</w:t>
            </w:r>
          </w:p>
        </w:tc>
        <w:tc>
          <w:tcPr>
            <w:tcW w:w="143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jc w:val="center"/>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标准号</w:t>
            </w:r>
          </w:p>
        </w:tc>
        <w:tc>
          <w:tcPr>
            <w:tcW w:w="171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jc w:val="center"/>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标准名称</w:t>
            </w: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jc w:val="center"/>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检验方法</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jc w:val="center"/>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1</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感官</w:t>
            </w:r>
          </w:p>
        </w:tc>
        <w:tc>
          <w:tcPr>
            <w:tcW w:w="1434" w:type="dxa"/>
            <w:vMerge w:val="restart"/>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 xml:space="preserve">QB/T 5323 </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 xml:space="preserve">QB/T 5356 </w:t>
            </w:r>
          </w:p>
        </w:tc>
        <w:tc>
          <w:tcPr>
            <w:tcW w:w="1715" w:type="dxa"/>
            <w:vMerge w:val="restart"/>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植物酵素</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果蔬发酵汁</w:t>
            </w:r>
          </w:p>
          <w:p>
            <w:pPr>
              <w:keepNext w:val="0"/>
              <w:keepLines w:val="0"/>
              <w:pageBreakBefore w:val="0"/>
              <w:widowControl/>
              <w:kinsoku/>
              <w:wordWrap/>
              <w:overflowPunct/>
              <w:topLinePunct w:val="0"/>
              <w:autoSpaceDE/>
              <w:autoSpaceDN/>
              <w:bidi w:val="0"/>
              <w:adjustRightInd/>
              <w:snapToGrid/>
              <w:spacing w:line="340" w:lineRule="exact"/>
              <w:textAlignment w:val="auto"/>
              <w:rPr>
                <w:rFonts w:ascii="仿宋" w:hAnsi="仿宋" w:eastAsia="仿宋" w:cs="宋体"/>
                <w:b w:val="0"/>
                <w:bCs w:val="0"/>
                <w:kern w:val="0"/>
                <w:sz w:val="28"/>
                <w:szCs w:val="28"/>
              </w:rPr>
            </w:pP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hint="eastAsia" w:ascii="仿宋" w:hAnsi="仿宋" w:eastAsia="仿宋" w:cs="宋体"/>
                <w:b w:val="0"/>
                <w:bCs w:val="0"/>
                <w:kern w:val="0"/>
                <w:sz w:val="28"/>
                <w:szCs w:val="28"/>
              </w:rPr>
              <w:t>QB/T 5323</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2</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pH</w:t>
            </w:r>
          </w:p>
        </w:tc>
        <w:tc>
          <w:tcPr>
            <w:tcW w:w="1434"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171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hint="eastAsia" w:ascii="仿宋" w:hAnsi="仿宋" w:eastAsia="仿宋" w:cs="宋体"/>
                <w:b w:val="0"/>
                <w:bCs w:val="0"/>
                <w:kern w:val="0"/>
                <w:sz w:val="28"/>
                <w:szCs w:val="28"/>
              </w:rPr>
              <w:t>GB</w:t>
            </w:r>
            <w:r>
              <w:rPr>
                <w:rFonts w:ascii="仿宋" w:hAnsi="仿宋" w:eastAsia="仿宋" w:cs="宋体"/>
                <w:b w:val="0"/>
                <w:bCs w:val="0"/>
                <w:kern w:val="0"/>
                <w:sz w:val="28"/>
                <w:szCs w:val="28"/>
              </w:rPr>
              <w:t xml:space="preserve"> 5009.2</w:t>
            </w:r>
            <w:r>
              <w:rPr>
                <w:rFonts w:hint="eastAsia" w:ascii="仿宋" w:hAnsi="仿宋" w:eastAsia="仿宋" w:cs="宋体"/>
                <w:b w:val="0"/>
                <w:bCs w:val="0"/>
                <w:kern w:val="0"/>
                <w:sz w:val="28"/>
                <w:szCs w:val="28"/>
              </w:rPr>
              <w:t>3</w:t>
            </w:r>
            <w:r>
              <w:rPr>
                <w:rFonts w:ascii="仿宋" w:hAnsi="仿宋" w:eastAsia="仿宋" w:cs="宋体"/>
                <w:b w:val="0"/>
                <w:bCs w:val="0"/>
                <w:kern w:val="0"/>
                <w:sz w:val="28"/>
                <w:szCs w:val="28"/>
              </w:rPr>
              <w:t>7</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Times New Roman"/>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3</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 w:hAnsi="仿宋" w:eastAsia="仿宋" w:cs="宋体"/>
                <w:b w:val="0"/>
                <w:bCs w:val="0"/>
                <w:kern w:val="0"/>
                <w:sz w:val="28"/>
                <w:szCs w:val="28"/>
                <w:lang w:val="en-US" w:eastAsia="zh-CN"/>
              </w:rPr>
            </w:pPr>
            <w:r>
              <w:rPr>
                <w:rFonts w:hint="eastAsia" w:ascii="仿宋" w:hAnsi="仿宋" w:eastAsia="仿宋" w:cs="宋体"/>
                <w:b w:val="0"/>
                <w:bCs w:val="0"/>
                <w:kern w:val="0"/>
                <w:sz w:val="28"/>
                <w:szCs w:val="28"/>
                <w:lang w:val="en-US" w:eastAsia="zh-CN"/>
              </w:rPr>
              <w:t>可溶性固形物</w:t>
            </w:r>
          </w:p>
        </w:tc>
        <w:tc>
          <w:tcPr>
            <w:tcW w:w="1434"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171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 w:hAnsi="仿宋" w:eastAsia="仿宋" w:cs="宋体"/>
                <w:b w:val="0"/>
                <w:bCs w:val="0"/>
                <w:kern w:val="0"/>
                <w:sz w:val="28"/>
                <w:szCs w:val="28"/>
                <w:lang w:val="en-US" w:eastAsia="zh-CN"/>
              </w:rPr>
            </w:pPr>
            <w:r>
              <w:rPr>
                <w:rFonts w:hint="eastAsia" w:ascii="仿宋" w:hAnsi="仿宋" w:eastAsia="仿宋" w:cs="宋体"/>
                <w:b w:val="0"/>
                <w:bCs w:val="0"/>
                <w:kern w:val="0"/>
                <w:sz w:val="28"/>
                <w:szCs w:val="28"/>
                <w:lang w:val="en-US" w:eastAsia="zh-CN"/>
              </w:rPr>
              <w:t>GB/T 12143</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 w:hAnsi="仿宋" w:eastAsia="仿宋" w:cs="宋体"/>
                <w:b w:val="0"/>
                <w:bCs w:val="0"/>
                <w:kern w:val="0"/>
                <w:sz w:val="28"/>
                <w:szCs w:val="28"/>
                <w:lang w:val="en-US" w:eastAsia="zh-CN"/>
              </w:rPr>
            </w:pPr>
            <w:r>
              <w:rPr>
                <w:rFonts w:hint="eastAsia" w:ascii="仿宋" w:hAnsi="仿宋" w:eastAsia="仿宋" w:cs="宋体"/>
                <w:b w:val="0"/>
                <w:bCs w:val="0"/>
                <w:kern w:val="0"/>
                <w:sz w:val="28"/>
                <w:szCs w:val="28"/>
                <w:lang w:val="en-US" w:eastAsia="zh-CN"/>
              </w:rPr>
              <w:t>该项目适用于半固态/液态产品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4</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乙醇</w:t>
            </w:r>
          </w:p>
        </w:tc>
        <w:tc>
          <w:tcPr>
            <w:tcW w:w="1434"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171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GB/T 12143</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5</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总酸</w:t>
            </w:r>
          </w:p>
        </w:tc>
        <w:tc>
          <w:tcPr>
            <w:tcW w:w="1434"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171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12456</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6</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乳酸</w:t>
            </w:r>
          </w:p>
        </w:tc>
        <w:tc>
          <w:tcPr>
            <w:tcW w:w="1434"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171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5009.157</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7</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有机酸</w:t>
            </w:r>
          </w:p>
        </w:tc>
        <w:tc>
          <w:tcPr>
            <w:tcW w:w="1434"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171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5009.157</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8</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粗多糖</w:t>
            </w:r>
          </w:p>
        </w:tc>
        <w:tc>
          <w:tcPr>
            <w:tcW w:w="1434"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171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SN/T 4260</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9</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游离氨基酸</w:t>
            </w:r>
          </w:p>
        </w:tc>
        <w:tc>
          <w:tcPr>
            <w:tcW w:w="1434"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171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5009.124</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10</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多酚</w:t>
            </w:r>
          </w:p>
        </w:tc>
        <w:tc>
          <w:tcPr>
            <w:tcW w:w="1434"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171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GB/T 31740.2</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11</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维生素B</w:t>
            </w:r>
            <w:r>
              <w:rPr>
                <w:rFonts w:ascii="仿宋" w:hAnsi="仿宋" w:eastAsia="仿宋" w:cs="宋体"/>
                <w:b w:val="0"/>
                <w:bCs w:val="0"/>
                <w:kern w:val="0"/>
                <w:sz w:val="28"/>
                <w:szCs w:val="28"/>
                <w:vertAlign w:val="subscript"/>
              </w:rPr>
              <w:t>1</w:t>
            </w:r>
          </w:p>
        </w:tc>
        <w:tc>
          <w:tcPr>
            <w:tcW w:w="1434"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171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5009.84</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12</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维生素B</w:t>
            </w:r>
            <w:r>
              <w:rPr>
                <w:rFonts w:ascii="仿宋" w:hAnsi="仿宋" w:eastAsia="仿宋" w:cs="宋体"/>
                <w:b w:val="0"/>
                <w:bCs w:val="0"/>
                <w:kern w:val="0"/>
                <w:sz w:val="28"/>
                <w:szCs w:val="28"/>
                <w:vertAlign w:val="subscript"/>
              </w:rPr>
              <w:t>2</w:t>
            </w:r>
          </w:p>
        </w:tc>
        <w:tc>
          <w:tcPr>
            <w:tcW w:w="1434"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171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5009.85</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13</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维生素B</w:t>
            </w:r>
            <w:r>
              <w:rPr>
                <w:rFonts w:ascii="仿宋" w:hAnsi="仿宋" w:eastAsia="仿宋" w:cs="宋体"/>
                <w:b w:val="0"/>
                <w:bCs w:val="0"/>
                <w:kern w:val="0"/>
                <w:sz w:val="28"/>
                <w:szCs w:val="28"/>
                <w:vertAlign w:val="subscript"/>
              </w:rPr>
              <w:t>6</w:t>
            </w:r>
          </w:p>
        </w:tc>
        <w:tc>
          <w:tcPr>
            <w:tcW w:w="1434"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171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5009.154</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14</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维生素B</w:t>
            </w:r>
            <w:r>
              <w:rPr>
                <w:rFonts w:ascii="仿宋" w:hAnsi="仿宋" w:eastAsia="仿宋" w:cs="宋体"/>
                <w:b w:val="0"/>
                <w:bCs w:val="0"/>
                <w:kern w:val="0"/>
                <w:sz w:val="28"/>
                <w:szCs w:val="28"/>
                <w:vertAlign w:val="subscript"/>
              </w:rPr>
              <w:t>12</w:t>
            </w:r>
          </w:p>
        </w:tc>
        <w:tc>
          <w:tcPr>
            <w:tcW w:w="1434"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171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5</w:t>
            </w:r>
            <w:r>
              <w:rPr>
                <w:rFonts w:hint="eastAsia" w:ascii="仿宋" w:hAnsi="仿宋" w:eastAsia="仿宋" w:cs="宋体"/>
                <w:b w:val="0"/>
                <w:bCs w:val="0"/>
                <w:kern w:val="0"/>
                <w:sz w:val="28"/>
                <w:szCs w:val="28"/>
              </w:rPr>
              <w:t>009.285</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15</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蛋白质</w:t>
            </w:r>
          </w:p>
        </w:tc>
        <w:tc>
          <w:tcPr>
            <w:tcW w:w="143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w:t>
            </w:r>
          </w:p>
        </w:tc>
        <w:tc>
          <w:tcPr>
            <w:tcW w:w="171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w:t>
            </w: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5009.5</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16</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肽类</w:t>
            </w:r>
          </w:p>
        </w:tc>
        <w:tc>
          <w:tcPr>
            <w:tcW w:w="143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w:t>
            </w:r>
          </w:p>
        </w:tc>
        <w:tc>
          <w:tcPr>
            <w:tcW w:w="171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w:t>
            </w: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按照对应标准进行检验</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17</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寡糖类</w:t>
            </w:r>
          </w:p>
        </w:tc>
        <w:tc>
          <w:tcPr>
            <w:tcW w:w="143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w:t>
            </w:r>
          </w:p>
        </w:tc>
        <w:tc>
          <w:tcPr>
            <w:tcW w:w="171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w:t>
            </w: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按照对应标准进行检验</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18</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hint="eastAsia" w:ascii="仿宋" w:hAnsi="仿宋" w:eastAsia="仿宋" w:cs="宋体"/>
                <w:b w:val="0"/>
                <w:bCs w:val="0"/>
                <w:kern w:val="0"/>
                <w:sz w:val="28"/>
                <w:szCs w:val="28"/>
              </w:rPr>
              <w:t>总皂苷</w:t>
            </w:r>
          </w:p>
        </w:tc>
        <w:tc>
          <w:tcPr>
            <w:tcW w:w="143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w:t>
            </w:r>
          </w:p>
        </w:tc>
        <w:tc>
          <w:tcPr>
            <w:tcW w:w="171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w:t>
            </w:r>
          </w:p>
        </w:tc>
        <w:tc>
          <w:tcPr>
            <w:tcW w:w="2096" w:type="dxa"/>
            <w:vMerge w:val="restart"/>
            <w:tcBorders>
              <w:top w:val="single" w:color="000000" w:sz="6" w:space="0"/>
              <w:left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hint="eastAsia" w:ascii="仿宋" w:hAnsi="仿宋" w:eastAsia="仿宋" w:cs="宋体"/>
                <w:b w:val="0"/>
                <w:bCs w:val="0"/>
                <w:kern w:val="0"/>
                <w:sz w:val="28"/>
                <w:szCs w:val="28"/>
              </w:rPr>
              <w:t>保健食品理化及卫生指标检验与评价技术指导原则（2020年版）</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19</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hint="eastAsia" w:ascii="仿宋" w:hAnsi="仿宋" w:eastAsia="仿宋" w:cs="宋体"/>
                <w:b w:val="0"/>
                <w:bCs w:val="0"/>
                <w:kern w:val="0"/>
                <w:sz w:val="28"/>
                <w:szCs w:val="28"/>
              </w:rPr>
              <w:t>总黄酮</w:t>
            </w:r>
          </w:p>
        </w:tc>
        <w:tc>
          <w:tcPr>
            <w:tcW w:w="143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w:t>
            </w:r>
          </w:p>
        </w:tc>
        <w:tc>
          <w:tcPr>
            <w:tcW w:w="171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w:t>
            </w:r>
          </w:p>
        </w:tc>
        <w:tc>
          <w:tcPr>
            <w:tcW w:w="2096" w:type="dxa"/>
            <w:vMerge w:val="continue"/>
            <w:tcBorders>
              <w:left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20</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hint="eastAsia" w:ascii="仿宋" w:hAnsi="仿宋" w:eastAsia="仿宋" w:cs="宋体"/>
                <w:b w:val="0"/>
                <w:bCs w:val="0"/>
                <w:kern w:val="0"/>
                <w:sz w:val="28"/>
                <w:szCs w:val="28"/>
              </w:rPr>
              <w:t>总蒽醌</w:t>
            </w:r>
          </w:p>
        </w:tc>
        <w:tc>
          <w:tcPr>
            <w:tcW w:w="143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w:t>
            </w:r>
          </w:p>
        </w:tc>
        <w:tc>
          <w:tcPr>
            <w:tcW w:w="171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w:t>
            </w:r>
          </w:p>
        </w:tc>
        <w:tc>
          <w:tcPr>
            <w:tcW w:w="2096" w:type="dxa"/>
            <w:vMerge w:val="continue"/>
            <w:tcBorders>
              <w:left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21</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hint="eastAsia" w:ascii="仿宋" w:hAnsi="仿宋" w:eastAsia="仿宋" w:cs="宋体"/>
                <w:b w:val="0"/>
                <w:bCs w:val="0"/>
                <w:kern w:val="0"/>
                <w:sz w:val="28"/>
                <w:szCs w:val="28"/>
              </w:rPr>
              <w:t>总三萜</w:t>
            </w:r>
          </w:p>
        </w:tc>
        <w:tc>
          <w:tcPr>
            <w:tcW w:w="143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w:t>
            </w:r>
          </w:p>
        </w:tc>
        <w:tc>
          <w:tcPr>
            <w:tcW w:w="171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w:t>
            </w:r>
          </w:p>
        </w:tc>
        <w:tc>
          <w:tcPr>
            <w:tcW w:w="2096" w:type="dxa"/>
            <w:vMerge w:val="continue"/>
            <w:tcBorders>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22</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铅</w:t>
            </w:r>
          </w:p>
        </w:tc>
        <w:tc>
          <w:tcPr>
            <w:tcW w:w="1434" w:type="dxa"/>
            <w:vMerge w:val="restart"/>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b w:val="0"/>
                <w:bCs w:val="0"/>
                <w:sz w:val="28"/>
                <w:szCs w:val="28"/>
              </w:rPr>
              <w:fldChar w:fldCharType="begin"/>
            </w:r>
            <w:r>
              <w:rPr>
                <w:b w:val="0"/>
                <w:bCs w:val="0"/>
                <w:sz w:val="28"/>
                <w:szCs w:val="28"/>
              </w:rPr>
              <w:instrText xml:space="preserve"> HYPERLINK "http://220.181.176.160/stdlinfo/servlet/com.sac.sacQuery.GjbzcxDetailServlet?std_code=GB%2017324-2003" </w:instrText>
            </w:r>
            <w:r>
              <w:rPr>
                <w:b w:val="0"/>
                <w:bCs w:val="0"/>
                <w:sz w:val="28"/>
                <w:szCs w:val="28"/>
              </w:rPr>
              <w:fldChar w:fldCharType="separate"/>
            </w:r>
            <w:r>
              <w:rPr>
                <w:rFonts w:ascii="仿宋" w:hAnsi="仿宋" w:eastAsia="仿宋" w:cs="宋体"/>
                <w:b w:val="0"/>
                <w:bCs w:val="0"/>
                <w:kern w:val="0"/>
                <w:sz w:val="28"/>
                <w:szCs w:val="28"/>
              </w:rPr>
              <w:t>GB 2762</w:t>
            </w:r>
            <w:r>
              <w:rPr>
                <w:rFonts w:ascii="仿宋" w:hAnsi="仿宋" w:eastAsia="仿宋" w:cs="宋体"/>
                <w:b w:val="0"/>
                <w:bCs w:val="0"/>
                <w:kern w:val="0"/>
                <w:sz w:val="28"/>
                <w:szCs w:val="28"/>
              </w:rPr>
              <w:fldChar w:fldCharType="end"/>
            </w:r>
          </w:p>
        </w:tc>
        <w:tc>
          <w:tcPr>
            <w:tcW w:w="1715" w:type="dxa"/>
            <w:vMerge w:val="restart"/>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食品安全国家标准食品中污染物限量</w:t>
            </w: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5009.12</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23</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总砷</w:t>
            </w:r>
          </w:p>
        </w:tc>
        <w:tc>
          <w:tcPr>
            <w:tcW w:w="1434"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171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5009.11</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24</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镉</w:t>
            </w:r>
          </w:p>
        </w:tc>
        <w:tc>
          <w:tcPr>
            <w:tcW w:w="1434"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171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5009.15</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25</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总汞</w:t>
            </w:r>
          </w:p>
        </w:tc>
        <w:tc>
          <w:tcPr>
            <w:tcW w:w="1434"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171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5009.17</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26</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铬</w:t>
            </w:r>
          </w:p>
        </w:tc>
        <w:tc>
          <w:tcPr>
            <w:tcW w:w="1434"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171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5009.123</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27</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乳酸菌</w:t>
            </w:r>
          </w:p>
        </w:tc>
        <w:tc>
          <w:tcPr>
            <w:tcW w:w="1434" w:type="dxa"/>
            <w:vMerge w:val="restart"/>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QB/T 5323 QB/T 5356</w:t>
            </w:r>
          </w:p>
        </w:tc>
        <w:tc>
          <w:tcPr>
            <w:tcW w:w="1715" w:type="dxa"/>
            <w:vMerge w:val="restart"/>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植物酵素</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果蔬发酵汁</w:t>
            </w: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4789.35</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该项目适用于非灭菌型产品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28</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菌落总数</w:t>
            </w:r>
          </w:p>
        </w:tc>
        <w:tc>
          <w:tcPr>
            <w:tcW w:w="1434"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171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4789.2</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该项目适用于灭菌型产品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29</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大肠菌群</w:t>
            </w:r>
          </w:p>
        </w:tc>
        <w:tc>
          <w:tcPr>
            <w:tcW w:w="1434"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171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4789.3</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平板计数法</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30</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 w:hAnsi="仿宋" w:eastAsia="仿宋" w:cs="宋体"/>
                <w:b w:val="0"/>
                <w:bCs w:val="0"/>
                <w:kern w:val="0"/>
                <w:sz w:val="28"/>
                <w:szCs w:val="28"/>
                <w:lang w:val="en-US" w:eastAsia="zh-CN"/>
              </w:rPr>
            </w:pPr>
            <w:r>
              <w:rPr>
                <w:rFonts w:ascii="仿宋" w:hAnsi="仿宋" w:eastAsia="仿宋" w:cs="宋体"/>
                <w:b w:val="0"/>
                <w:bCs w:val="0"/>
                <w:kern w:val="0"/>
                <w:sz w:val="28"/>
                <w:szCs w:val="28"/>
              </w:rPr>
              <w:t>霉菌</w:t>
            </w:r>
            <w:r>
              <w:rPr>
                <w:rFonts w:hint="eastAsia" w:ascii="仿宋" w:hAnsi="仿宋" w:eastAsia="仿宋" w:cs="宋体"/>
                <w:b w:val="0"/>
                <w:bCs w:val="0"/>
                <w:kern w:val="0"/>
                <w:sz w:val="28"/>
                <w:szCs w:val="28"/>
                <w:lang w:eastAsia="zh-CN"/>
              </w:rPr>
              <w:t>、</w:t>
            </w:r>
            <w:r>
              <w:rPr>
                <w:rFonts w:hint="eastAsia" w:ascii="仿宋" w:hAnsi="仿宋" w:eastAsia="仿宋" w:cs="宋体"/>
                <w:b w:val="0"/>
                <w:bCs w:val="0"/>
                <w:kern w:val="0"/>
                <w:sz w:val="28"/>
                <w:szCs w:val="28"/>
                <w:lang w:val="en-US" w:eastAsia="zh-CN"/>
              </w:rPr>
              <w:t>酵母</w:t>
            </w:r>
          </w:p>
        </w:tc>
        <w:tc>
          <w:tcPr>
            <w:tcW w:w="1434"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171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4789.15</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31</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商业无菌</w:t>
            </w:r>
          </w:p>
        </w:tc>
        <w:tc>
          <w:tcPr>
            <w:tcW w:w="1434"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171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4789.26</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该项目适用于罐头工艺加工的产品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ascii="仿宋" w:hAnsi="仿宋" w:eastAsia="仿宋" w:cs="宋体"/>
                <w:b w:val="0"/>
                <w:bCs w:val="0"/>
                <w:kern w:val="0"/>
                <w:sz w:val="28"/>
                <w:szCs w:val="28"/>
              </w:rPr>
              <w:t>32</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金黄色葡萄球菌</w:t>
            </w:r>
          </w:p>
        </w:tc>
        <w:tc>
          <w:tcPr>
            <w:tcW w:w="1434" w:type="dxa"/>
            <w:vMerge w:val="restart"/>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29921</w:t>
            </w:r>
          </w:p>
        </w:tc>
        <w:tc>
          <w:tcPr>
            <w:tcW w:w="1715" w:type="dxa"/>
            <w:vMerge w:val="restart"/>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hint="eastAsia" w:ascii="仿宋" w:hAnsi="仿宋" w:eastAsia="仿宋" w:cs="宋体"/>
                <w:b w:val="0"/>
                <w:bCs w:val="0"/>
                <w:kern w:val="0"/>
                <w:sz w:val="28"/>
                <w:szCs w:val="28"/>
              </w:rPr>
              <w:t>食品安全国家标准 预包装食品中致病菌限量</w:t>
            </w: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4789.10</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5" w:hRule="atLeast"/>
        </w:trPr>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hint="eastAsia" w:ascii="仿宋" w:hAnsi="仿宋" w:eastAsia="仿宋" w:cs="宋体"/>
                <w:b w:val="0"/>
                <w:bCs w:val="0"/>
                <w:kern w:val="0"/>
                <w:sz w:val="28"/>
                <w:szCs w:val="28"/>
              </w:rPr>
              <w:t>3</w:t>
            </w:r>
            <w:r>
              <w:rPr>
                <w:rFonts w:ascii="仿宋" w:hAnsi="仿宋" w:eastAsia="仿宋" w:cs="宋体"/>
                <w:b w:val="0"/>
                <w:bCs w:val="0"/>
                <w:kern w:val="0"/>
                <w:sz w:val="28"/>
                <w:szCs w:val="28"/>
              </w:rPr>
              <w:t>3</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沙门氏菌</w:t>
            </w:r>
          </w:p>
        </w:tc>
        <w:tc>
          <w:tcPr>
            <w:tcW w:w="1434"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171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4789.4</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hint="eastAsia" w:ascii="仿宋" w:hAnsi="仿宋" w:eastAsia="仿宋" w:cs="宋体"/>
                <w:b w:val="0"/>
                <w:bCs w:val="0"/>
                <w:kern w:val="0"/>
                <w:sz w:val="28"/>
                <w:szCs w:val="28"/>
              </w:rPr>
              <w:t>3</w:t>
            </w:r>
            <w:r>
              <w:rPr>
                <w:rFonts w:ascii="仿宋" w:hAnsi="仿宋" w:eastAsia="仿宋" w:cs="宋体"/>
                <w:b w:val="0"/>
                <w:bCs w:val="0"/>
                <w:kern w:val="0"/>
                <w:sz w:val="28"/>
                <w:szCs w:val="28"/>
              </w:rPr>
              <w:t>4</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食品添加剂</w:t>
            </w:r>
          </w:p>
        </w:tc>
        <w:tc>
          <w:tcPr>
            <w:tcW w:w="143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2760</w:t>
            </w:r>
          </w:p>
        </w:tc>
        <w:tc>
          <w:tcPr>
            <w:tcW w:w="171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食品安全国家标准 食品添加剂使用标准</w:t>
            </w: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按照对应标准进行检验</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hint="eastAsia" w:ascii="仿宋" w:hAnsi="仿宋" w:eastAsia="仿宋" w:cs="宋体"/>
                <w:b w:val="0"/>
                <w:bCs w:val="0"/>
                <w:kern w:val="0"/>
                <w:sz w:val="28"/>
                <w:szCs w:val="28"/>
              </w:rPr>
              <w:t>3</w:t>
            </w:r>
            <w:r>
              <w:rPr>
                <w:rFonts w:ascii="仿宋" w:hAnsi="仿宋" w:eastAsia="仿宋" w:cs="宋体"/>
                <w:b w:val="0"/>
                <w:bCs w:val="0"/>
                <w:kern w:val="0"/>
                <w:sz w:val="28"/>
                <w:szCs w:val="28"/>
              </w:rPr>
              <w:t>5</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营养强化剂</w:t>
            </w:r>
          </w:p>
        </w:tc>
        <w:tc>
          <w:tcPr>
            <w:tcW w:w="143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14880</w:t>
            </w:r>
          </w:p>
        </w:tc>
        <w:tc>
          <w:tcPr>
            <w:tcW w:w="171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食品安全国家标准 食品营养强化剂使用标准</w:t>
            </w: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按照对应标准进行检验</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hint="eastAsia" w:ascii="仿宋" w:hAnsi="仿宋" w:eastAsia="仿宋" w:cs="宋体"/>
                <w:b w:val="0"/>
                <w:bCs w:val="0"/>
                <w:kern w:val="0"/>
                <w:sz w:val="28"/>
                <w:szCs w:val="28"/>
              </w:rPr>
              <w:t>3</w:t>
            </w:r>
            <w:r>
              <w:rPr>
                <w:rFonts w:ascii="仿宋" w:hAnsi="仿宋" w:eastAsia="仿宋" w:cs="宋体"/>
                <w:b w:val="0"/>
                <w:bCs w:val="0"/>
                <w:kern w:val="0"/>
                <w:sz w:val="28"/>
                <w:szCs w:val="28"/>
              </w:rPr>
              <w:t>6</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标签</w:t>
            </w:r>
          </w:p>
        </w:tc>
        <w:tc>
          <w:tcPr>
            <w:tcW w:w="143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7718</w:t>
            </w:r>
          </w:p>
        </w:tc>
        <w:tc>
          <w:tcPr>
            <w:tcW w:w="171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食品安全国家标准 预包装食品标签通则</w:t>
            </w: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lang w:val="en-US" w:eastAsia="zh-CN" w:bidi="ar-SA"/>
              </w:rPr>
            </w:pPr>
            <w:r>
              <w:rPr>
                <w:rFonts w:hint="eastAsia" w:ascii="仿宋" w:hAnsi="仿宋" w:eastAsia="仿宋" w:cs="宋体"/>
                <w:b w:val="0"/>
                <w:bCs w:val="0"/>
                <w:kern w:val="0"/>
                <w:sz w:val="28"/>
                <w:szCs w:val="28"/>
              </w:rPr>
              <w:t>3</w:t>
            </w:r>
            <w:r>
              <w:rPr>
                <w:rFonts w:ascii="仿宋" w:hAnsi="仿宋" w:eastAsia="仿宋" w:cs="宋体"/>
                <w:b w:val="0"/>
                <w:bCs w:val="0"/>
                <w:kern w:val="0"/>
                <w:sz w:val="28"/>
                <w:szCs w:val="28"/>
              </w:rPr>
              <w:t>7</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营养标签</w:t>
            </w:r>
          </w:p>
        </w:tc>
        <w:tc>
          <w:tcPr>
            <w:tcW w:w="143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GB 28050</w:t>
            </w:r>
          </w:p>
        </w:tc>
        <w:tc>
          <w:tcPr>
            <w:tcW w:w="171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食品安全国家标准 预包装食品营养标签通则</w:t>
            </w: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ascii="仿宋" w:hAnsi="仿宋" w:eastAsia="仿宋" w:cs="宋体"/>
                <w:b w:val="0"/>
                <w:bCs w:val="0"/>
                <w:kern w:val="0"/>
                <w:sz w:val="28"/>
                <w:szCs w:val="28"/>
              </w:rPr>
              <w:t>/</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2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仿宋" w:hAnsi="仿宋" w:eastAsia="仿宋" w:cs="宋体"/>
                <w:b w:val="0"/>
                <w:bCs w:val="0"/>
                <w:kern w:val="0"/>
                <w:sz w:val="28"/>
                <w:szCs w:val="28"/>
                <w:lang w:val="en-US" w:eastAsia="zh-CN"/>
              </w:rPr>
            </w:pPr>
            <w:r>
              <w:rPr>
                <w:rFonts w:hint="eastAsia" w:ascii="仿宋" w:hAnsi="仿宋" w:eastAsia="仿宋" w:cs="宋体"/>
                <w:b w:val="0"/>
                <w:bCs w:val="0"/>
                <w:kern w:val="0"/>
                <w:sz w:val="28"/>
                <w:szCs w:val="28"/>
                <w:lang w:val="en-US" w:eastAsia="zh-CN"/>
              </w:rPr>
              <w:t>38</w:t>
            </w:r>
          </w:p>
        </w:tc>
        <w:tc>
          <w:tcPr>
            <w:tcW w:w="147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hint="eastAsia" w:ascii="仿宋" w:hAnsi="仿宋" w:eastAsia="仿宋" w:cs="宋体"/>
                <w:b w:val="0"/>
                <w:bCs w:val="0"/>
                <w:kern w:val="0"/>
                <w:sz w:val="28"/>
                <w:szCs w:val="28"/>
              </w:rPr>
              <w:t>其他特征性指标</w:t>
            </w:r>
          </w:p>
        </w:tc>
        <w:tc>
          <w:tcPr>
            <w:tcW w:w="143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hint="eastAsia" w:ascii="仿宋" w:hAnsi="仿宋" w:eastAsia="仿宋" w:cs="宋体"/>
                <w:b w:val="0"/>
                <w:bCs w:val="0"/>
                <w:kern w:val="0"/>
                <w:sz w:val="28"/>
                <w:szCs w:val="28"/>
              </w:rPr>
              <w:t>/</w:t>
            </w:r>
          </w:p>
        </w:tc>
        <w:tc>
          <w:tcPr>
            <w:tcW w:w="171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val="0"/>
                <w:bCs w:val="0"/>
                <w:kern w:val="0"/>
                <w:sz w:val="28"/>
                <w:szCs w:val="28"/>
              </w:rPr>
            </w:pPr>
            <w:r>
              <w:rPr>
                <w:rFonts w:hint="eastAsia" w:ascii="仿宋" w:hAnsi="仿宋" w:eastAsia="仿宋" w:cs="宋体"/>
                <w:b w:val="0"/>
                <w:bCs w:val="0"/>
                <w:kern w:val="0"/>
                <w:sz w:val="28"/>
                <w:szCs w:val="28"/>
              </w:rPr>
              <w:t>/</w:t>
            </w:r>
          </w:p>
        </w:tc>
        <w:tc>
          <w:tcPr>
            <w:tcW w:w="209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r>
              <w:rPr>
                <w:rFonts w:hint="eastAsia" w:ascii="仿宋" w:hAnsi="仿宋" w:eastAsia="仿宋" w:cs="宋体"/>
                <w:b w:val="0"/>
                <w:bCs w:val="0"/>
                <w:kern w:val="0"/>
                <w:sz w:val="28"/>
                <w:szCs w:val="28"/>
              </w:rPr>
              <w:t>/</w:t>
            </w:r>
          </w:p>
        </w:tc>
        <w:tc>
          <w:tcPr>
            <w:tcW w:w="1559"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b w:val="0"/>
                <w:bCs w:val="0"/>
                <w:kern w:val="0"/>
                <w:sz w:val="28"/>
                <w:szCs w:val="28"/>
              </w:rPr>
            </w:pP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 w:hAnsi="仿宋" w:eastAsia="仿宋" w:cs="仿宋"/>
          <w:b w:val="0"/>
          <w:bCs w:val="0"/>
          <w:sz w:val="32"/>
          <w:szCs w:val="32"/>
          <w:lang w:val="en-US" w:eastAsia="zh-CN"/>
        </w:rPr>
      </w:pPr>
      <w:bookmarkStart w:id="12" w:name="_GoBack"/>
    </w:p>
    <w:bookmarkEnd w:id="12"/>
    <w:sectPr>
      <w:footerReference r:id="rId3" w:type="default"/>
      <w:pgSz w:w="11906" w:h="16838"/>
      <w:pgMar w:top="1667" w:right="1800" w:bottom="161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创艺简标宋">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5"/>
                          </w:pPr>
                          <w:r>
                            <w:fldChar w:fldCharType="begin"/>
                          </w:r>
                          <w:r>
                            <w:instrText xml:space="preserve"> PAGE  \* MERGEFORMAT </w:instrText>
                          </w:r>
                          <w:r>
                            <w:fldChar w:fldCharType="separate"/>
                          </w:r>
                          <w:r>
                            <w:t>18</w:t>
                          </w:r>
                          <w: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1u5d9AAAAACAQAADwAAAAAAAAAB&#10;ACAAAAAiAAAAZHJzL2Rvd25yZXYueG1sUEsBAhQAFAAAAAgAh07iQDbMq2DfAQAAtQMAAA4AAAAA&#10;AAAAAQAgAAAAHwEAAGRycy9lMm9Eb2MueG1sUEsFBgAAAAAGAAYAWQEAAHA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5NTNiM2I5YzRkMjQzNmEzYmU2NjM3M2E2NTQ0YTgifQ=="/>
  </w:docVars>
  <w:rsids>
    <w:rsidRoot w:val="003027D1"/>
    <w:rsid w:val="000076D7"/>
    <w:rsid w:val="00012BBB"/>
    <w:rsid w:val="000A1254"/>
    <w:rsid w:val="0018236A"/>
    <w:rsid w:val="001A1ABE"/>
    <w:rsid w:val="001C2EFE"/>
    <w:rsid w:val="001D3E8B"/>
    <w:rsid w:val="001F2863"/>
    <w:rsid w:val="002A05FF"/>
    <w:rsid w:val="002B7E49"/>
    <w:rsid w:val="002D0E50"/>
    <w:rsid w:val="003027D1"/>
    <w:rsid w:val="00381FC8"/>
    <w:rsid w:val="003B6F56"/>
    <w:rsid w:val="004120C7"/>
    <w:rsid w:val="004A3F71"/>
    <w:rsid w:val="00510874"/>
    <w:rsid w:val="00521A4C"/>
    <w:rsid w:val="00562B07"/>
    <w:rsid w:val="005A2168"/>
    <w:rsid w:val="005B1C3C"/>
    <w:rsid w:val="00633613"/>
    <w:rsid w:val="00695A39"/>
    <w:rsid w:val="006F3540"/>
    <w:rsid w:val="007034D8"/>
    <w:rsid w:val="00711DE3"/>
    <w:rsid w:val="00736F70"/>
    <w:rsid w:val="007662E6"/>
    <w:rsid w:val="007C5154"/>
    <w:rsid w:val="007F0ADB"/>
    <w:rsid w:val="008220D5"/>
    <w:rsid w:val="00864461"/>
    <w:rsid w:val="008A47C3"/>
    <w:rsid w:val="008C1538"/>
    <w:rsid w:val="00940C08"/>
    <w:rsid w:val="00950AED"/>
    <w:rsid w:val="009A2E95"/>
    <w:rsid w:val="009B51FB"/>
    <w:rsid w:val="009B6033"/>
    <w:rsid w:val="009C2ACA"/>
    <w:rsid w:val="00A01BFF"/>
    <w:rsid w:val="00B4243B"/>
    <w:rsid w:val="00B5588D"/>
    <w:rsid w:val="00BE7EA4"/>
    <w:rsid w:val="00C3433B"/>
    <w:rsid w:val="00C57628"/>
    <w:rsid w:val="00CC3C2B"/>
    <w:rsid w:val="00CC7DB6"/>
    <w:rsid w:val="00D07A20"/>
    <w:rsid w:val="00D77E07"/>
    <w:rsid w:val="00E462BC"/>
    <w:rsid w:val="00ED5EC2"/>
    <w:rsid w:val="00F029CC"/>
    <w:rsid w:val="00FF021E"/>
    <w:rsid w:val="00FF4C82"/>
    <w:rsid w:val="01F15F6E"/>
    <w:rsid w:val="027E531A"/>
    <w:rsid w:val="046677FF"/>
    <w:rsid w:val="05040531"/>
    <w:rsid w:val="06451373"/>
    <w:rsid w:val="06647936"/>
    <w:rsid w:val="07163ADD"/>
    <w:rsid w:val="072A66F8"/>
    <w:rsid w:val="084A66A3"/>
    <w:rsid w:val="097C11D2"/>
    <w:rsid w:val="09F41DBE"/>
    <w:rsid w:val="0A487E5F"/>
    <w:rsid w:val="0A7E16B5"/>
    <w:rsid w:val="0BD561DE"/>
    <w:rsid w:val="0C491F17"/>
    <w:rsid w:val="0C6E09E9"/>
    <w:rsid w:val="0CA827C5"/>
    <w:rsid w:val="0CB04E95"/>
    <w:rsid w:val="0CCE6E27"/>
    <w:rsid w:val="0DD116F9"/>
    <w:rsid w:val="0E09343A"/>
    <w:rsid w:val="0E0A1DF6"/>
    <w:rsid w:val="0E456233"/>
    <w:rsid w:val="0EFF36FB"/>
    <w:rsid w:val="0FDC42A7"/>
    <w:rsid w:val="105676DC"/>
    <w:rsid w:val="11E93E49"/>
    <w:rsid w:val="121D1A7B"/>
    <w:rsid w:val="123029BC"/>
    <w:rsid w:val="12B44902"/>
    <w:rsid w:val="132947C0"/>
    <w:rsid w:val="13346FFD"/>
    <w:rsid w:val="13D14676"/>
    <w:rsid w:val="14CC54F8"/>
    <w:rsid w:val="156854C3"/>
    <w:rsid w:val="15A25C07"/>
    <w:rsid w:val="17145D71"/>
    <w:rsid w:val="177B42BB"/>
    <w:rsid w:val="1794268E"/>
    <w:rsid w:val="17CE112D"/>
    <w:rsid w:val="17FE7B9D"/>
    <w:rsid w:val="18451D22"/>
    <w:rsid w:val="186A24FA"/>
    <w:rsid w:val="18EC5ABF"/>
    <w:rsid w:val="19447F3E"/>
    <w:rsid w:val="196B6F5D"/>
    <w:rsid w:val="19A61157"/>
    <w:rsid w:val="1A2A0C73"/>
    <w:rsid w:val="1A505399"/>
    <w:rsid w:val="1A8630E8"/>
    <w:rsid w:val="1A87511C"/>
    <w:rsid w:val="1A882A99"/>
    <w:rsid w:val="1B041182"/>
    <w:rsid w:val="1B9F7B92"/>
    <w:rsid w:val="1C020EDA"/>
    <w:rsid w:val="1CAF1B22"/>
    <w:rsid w:val="1D07523B"/>
    <w:rsid w:val="1D25565A"/>
    <w:rsid w:val="1D692577"/>
    <w:rsid w:val="1DD96B9E"/>
    <w:rsid w:val="1DFD0685"/>
    <w:rsid w:val="1E5E505F"/>
    <w:rsid w:val="1ED36A84"/>
    <w:rsid w:val="1FC128ED"/>
    <w:rsid w:val="205A79D7"/>
    <w:rsid w:val="21737F20"/>
    <w:rsid w:val="218B33CC"/>
    <w:rsid w:val="21DF3605"/>
    <w:rsid w:val="22370E2E"/>
    <w:rsid w:val="22506D3E"/>
    <w:rsid w:val="22E22A19"/>
    <w:rsid w:val="22F07378"/>
    <w:rsid w:val="230A1FFE"/>
    <w:rsid w:val="230F69B4"/>
    <w:rsid w:val="239428A1"/>
    <w:rsid w:val="24586C26"/>
    <w:rsid w:val="24CE37DB"/>
    <w:rsid w:val="257466BF"/>
    <w:rsid w:val="2587403C"/>
    <w:rsid w:val="25CF5114"/>
    <w:rsid w:val="263A27E1"/>
    <w:rsid w:val="26EB4F82"/>
    <w:rsid w:val="27836AEE"/>
    <w:rsid w:val="279A5AFC"/>
    <w:rsid w:val="28F3709E"/>
    <w:rsid w:val="29203CAE"/>
    <w:rsid w:val="292F002F"/>
    <w:rsid w:val="2A0F595D"/>
    <w:rsid w:val="2A4F376F"/>
    <w:rsid w:val="2AAF3072"/>
    <w:rsid w:val="2B3B716B"/>
    <w:rsid w:val="2BB344B7"/>
    <w:rsid w:val="2C9E28E6"/>
    <w:rsid w:val="2D50652F"/>
    <w:rsid w:val="2DFE6796"/>
    <w:rsid w:val="2E052061"/>
    <w:rsid w:val="2EE315EA"/>
    <w:rsid w:val="2F3065A8"/>
    <w:rsid w:val="30A81DCB"/>
    <w:rsid w:val="318F2E9B"/>
    <w:rsid w:val="31BD751E"/>
    <w:rsid w:val="32C73823"/>
    <w:rsid w:val="32F747FD"/>
    <w:rsid w:val="330E3A19"/>
    <w:rsid w:val="33A9759C"/>
    <w:rsid w:val="34404679"/>
    <w:rsid w:val="35491DB9"/>
    <w:rsid w:val="35E25406"/>
    <w:rsid w:val="361B1CC8"/>
    <w:rsid w:val="36937D2C"/>
    <w:rsid w:val="36971BD7"/>
    <w:rsid w:val="36CB64FB"/>
    <w:rsid w:val="36F12F62"/>
    <w:rsid w:val="37FE0431"/>
    <w:rsid w:val="3886295D"/>
    <w:rsid w:val="39E42DE3"/>
    <w:rsid w:val="3ABE2D48"/>
    <w:rsid w:val="3B367F5F"/>
    <w:rsid w:val="3B39344B"/>
    <w:rsid w:val="3C142A74"/>
    <w:rsid w:val="3D1B512E"/>
    <w:rsid w:val="3E8F6CDE"/>
    <w:rsid w:val="41D3574B"/>
    <w:rsid w:val="420D29CB"/>
    <w:rsid w:val="42226A8B"/>
    <w:rsid w:val="4305537E"/>
    <w:rsid w:val="4414193C"/>
    <w:rsid w:val="45942935"/>
    <w:rsid w:val="45F333ED"/>
    <w:rsid w:val="47D3360F"/>
    <w:rsid w:val="48961F55"/>
    <w:rsid w:val="492442EC"/>
    <w:rsid w:val="494631C5"/>
    <w:rsid w:val="495518E8"/>
    <w:rsid w:val="4A211E1D"/>
    <w:rsid w:val="4B054C4F"/>
    <w:rsid w:val="4B5E7A60"/>
    <w:rsid w:val="4C874E63"/>
    <w:rsid w:val="4E5E1EA6"/>
    <w:rsid w:val="4EC70C9F"/>
    <w:rsid w:val="4EF40F08"/>
    <w:rsid w:val="4F0B4EAC"/>
    <w:rsid w:val="500E15F2"/>
    <w:rsid w:val="5350784E"/>
    <w:rsid w:val="546616CC"/>
    <w:rsid w:val="54AA3C3E"/>
    <w:rsid w:val="555732A6"/>
    <w:rsid w:val="56301712"/>
    <w:rsid w:val="56397E5C"/>
    <w:rsid w:val="575550E3"/>
    <w:rsid w:val="575C646D"/>
    <w:rsid w:val="57887A5B"/>
    <w:rsid w:val="57C9767E"/>
    <w:rsid w:val="57DB356D"/>
    <w:rsid w:val="587D67AB"/>
    <w:rsid w:val="595E0DCA"/>
    <w:rsid w:val="5D7F135B"/>
    <w:rsid w:val="5DF4767B"/>
    <w:rsid w:val="5E4D1024"/>
    <w:rsid w:val="61057BA5"/>
    <w:rsid w:val="61A6499E"/>
    <w:rsid w:val="61BA7C32"/>
    <w:rsid w:val="61F0599D"/>
    <w:rsid w:val="628074C4"/>
    <w:rsid w:val="63640C4D"/>
    <w:rsid w:val="64E94C87"/>
    <w:rsid w:val="652439A1"/>
    <w:rsid w:val="653F57AD"/>
    <w:rsid w:val="65E9543A"/>
    <w:rsid w:val="6609166A"/>
    <w:rsid w:val="667C6446"/>
    <w:rsid w:val="66C93E3C"/>
    <w:rsid w:val="66F70C49"/>
    <w:rsid w:val="683F4719"/>
    <w:rsid w:val="69010659"/>
    <w:rsid w:val="6912453F"/>
    <w:rsid w:val="69191363"/>
    <w:rsid w:val="6A2F402F"/>
    <w:rsid w:val="6A464E97"/>
    <w:rsid w:val="6B167AE9"/>
    <w:rsid w:val="6B740752"/>
    <w:rsid w:val="6BD861BF"/>
    <w:rsid w:val="6BF426CE"/>
    <w:rsid w:val="6C0B3A0F"/>
    <w:rsid w:val="6C1F17F4"/>
    <w:rsid w:val="6D36716F"/>
    <w:rsid w:val="6D39281B"/>
    <w:rsid w:val="6D9C0E5A"/>
    <w:rsid w:val="6DD51C83"/>
    <w:rsid w:val="6ECA2C18"/>
    <w:rsid w:val="6EEF5F38"/>
    <w:rsid w:val="6F3738DA"/>
    <w:rsid w:val="70A06D11"/>
    <w:rsid w:val="70DE2586"/>
    <w:rsid w:val="720F5C6B"/>
    <w:rsid w:val="7244269D"/>
    <w:rsid w:val="731421C6"/>
    <w:rsid w:val="732B0734"/>
    <w:rsid w:val="73375571"/>
    <w:rsid w:val="745B6983"/>
    <w:rsid w:val="757D0E54"/>
    <w:rsid w:val="75F42A63"/>
    <w:rsid w:val="7621378B"/>
    <w:rsid w:val="76C173AD"/>
    <w:rsid w:val="777B65FF"/>
    <w:rsid w:val="78D1665B"/>
    <w:rsid w:val="78DC6408"/>
    <w:rsid w:val="79261AEA"/>
    <w:rsid w:val="7B575DD5"/>
    <w:rsid w:val="7B93517D"/>
    <w:rsid w:val="7C7B44CA"/>
    <w:rsid w:val="7CB462B0"/>
    <w:rsid w:val="7CCA3B29"/>
    <w:rsid w:val="7D662AF8"/>
    <w:rsid w:val="7D8910CE"/>
    <w:rsid w:val="7DBD1832"/>
    <w:rsid w:val="7ECA47DD"/>
    <w:rsid w:val="7F6C2BB9"/>
    <w:rsid w:val="7FCA7F16"/>
    <w:rsid w:val="7FE952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6"/>
    <w:semiHidden/>
    <w:unhideWhenUsed/>
    <w:qFormat/>
    <w:uiPriority w:val="99"/>
    <w:pPr>
      <w:jc w:val="left"/>
    </w:pPr>
  </w:style>
  <w:style w:type="paragraph" w:styleId="3">
    <w:name w:val="Body Text"/>
    <w:basedOn w:val="1"/>
    <w:qFormat/>
    <w:uiPriority w:val="0"/>
    <w:pPr>
      <w:spacing w:line="480" w:lineRule="exact"/>
    </w:pPr>
    <w:rPr>
      <w:rFonts w:eastAsia="仿宋_GB2312"/>
      <w:sz w:val="32"/>
    </w:r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2"/>
    <w:next w:val="2"/>
    <w:link w:val="27"/>
    <w:semiHidden/>
    <w:unhideWhenUsed/>
    <w:qFormat/>
    <w:uiPriority w:val="99"/>
    <w:rPr>
      <w:b/>
      <w:bCs/>
    </w:rPr>
  </w:style>
  <w:style w:type="character" w:styleId="11">
    <w:name w:val="Hyperlink"/>
    <w:basedOn w:val="10"/>
    <w:unhideWhenUsed/>
    <w:qFormat/>
    <w:uiPriority w:val="99"/>
    <w:rPr>
      <w:color w:val="0000FF"/>
      <w:u w:val="single"/>
    </w:rPr>
  </w:style>
  <w:style w:type="character" w:styleId="12">
    <w:name w:val="annotation reference"/>
    <w:basedOn w:val="10"/>
    <w:semiHidden/>
    <w:unhideWhenUsed/>
    <w:qFormat/>
    <w:uiPriority w:val="99"/>
    <w:rPr>
      <w:sz w:val="21"/>
      <w:szCs w:val="21"/>
    </w:rPr>
  </w:style>
  <w:style w:type="character" w:customStyle="1" w:styleId="13">
    <w:name w:val="页眉 字符"/>
    <w:basedOn w:val="10"/>
    <w:link w:val="6"/>
    <w:semiHidden/>
    <w:qFormat/>
    <w:uiPriority w:val="99"/>
    <w:rPr>
      <w:sz w:val="18"/>
      <w:szCs w:val="18"/>
    </w:rPr>
  </w:style>
  <w:style w:type="character" w:customStyle="1" w:styleId="14">
    <w:name w:val="页脚 字符"/>
    <w:basedOn w:val="10"/>
    <w:link w:val="5"/>
    <w:semiHidden/>
    <w:qFormat/>
    <w:uiPriority w:val="99"/>
    <w:rPr>
      <w:sz w:val="18"/>
      <w:szCs w:val="18"/>
    </w:rPr>
  </w:style>
  <w:style w:type="character" w:customStyle="1" w:styleId="15">
    <w:name w:val="apple-converted-space"/>
    <w:basedOn w:val="10"/>
    <w:qFormat/>
    <w:uiPriority w:val="0"/>
  </w:style>
  <w:style w:type="character" w:customStyle="1" w:styleId="16">
    <w:name w:val="批注框文本 字符"/>
    <w:basedOn w:val="10"/>
    <w:link w:val="4"/>
    <w:semiHidden/>
    <w:qFormat/>
    <w:uiPriority w:val="99"/>
    <w:rPr>
      <w:sz w:val="18"/>
      <w:szCs w:val="18"/>
    </w:rPr>
  </w:style>
  <w:style w:type="paragraph" w:customStyle="1" w:styleId="17">
    <w:name w:val="列出段落1"/>
    <w:basedOn w:val="1"/>
    <w:qFormat/>
    <w:uiPriority w:val="34"/>
    <w:pPr>
      <w:widowControl/>
      <w:ind w:firstLine="420" w:firstLineChars="200"/>
      <w:jc w:val="left"/>
    </w:pPr>
    <w:rPr>
      <w:rFonts w:ascii="宋体" w:hAnsi="宋体" w:eastAsia="宋体" w:cs="宋体"/>
      <w:kern w:val="0"/>
      <w:sz w:val="24"/>
      <w:szCs w:val="24"/>
    </w:rPr>
  </w:style>
  <w:style w:type="character" w:customStyle="1" w:styleId="18">
    <w:name w:val="附录一级条标题 Char"/>
    <w:basedOn w:val="19"/>
    <w:link w:val="22"/>
    <w:qFormat/>
    <w:uiPriority w:val="0"/>
    <w:rPr>
      <w:rFonts w:ascii="黑体" w:eastAsia="黑体"/>
      <w:kern w:val="21"/>
    </w:rPr>
  </w:style>
  <w:style w:type="character" w:customStyle="1" w:styleId="19">
    <w:name w:val="附录章标题 Char"/>
    <w:link w:val="20"/>
    <w:qFormat/>
    <w:uiPriority w:val="0"/>
    <w:rPr>
      <w:rFonts w:ascii="黑体" w:eastAsia="黑体"/>
      <w:kern w:val="21"/>
    </w:rPr>
  </w:style>
  <w:style w:type="paragraph" w:customStyle="1" w:styleId="20">
    <w:name w:val="附录章标题"/>
    <w:next w:val="21"/>
    <w:link w:val="19"/>
    <w:qFormat/>
    <w:uiPriority w:val="0"/>
    <w:pPr>
      <w:wordWrap w:val="0"/>
      <w:overflowPunct w:val="0"/>
      <w:autoSpaceDE w:val="0"/>
      <w:spacing w:beforeLines="50" w:afterLines="50"/>
      <w:jc w:val="both"/>
      <w:textAlignment w:val="baseline"/>
      <w:outlineLvl w:val="1"/>
    </w:pPr>
    <w:rPr>
      <w:rFonts w:ascii="黑体" w:eastAsia="黑体" w:hAnsiTheme="minorHAnsi" w:cstheme="minorBidi"/>
      <w:kern w:val="21"/>
      <w:sz w:val="21"/>
      <w:szCs w:val="22"/>
      <w:lang w:val="en-US" w:eastAsia="zh-CN" w:bidi="ar-SA"/>
    </w:rPr>
  </w:style>
  <w:style w:type="paragraph" w:customStyle="1" w:styleId="2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
    <w:name w:val="附录一级条标题"/>
    <w:basedOn w:val="20"/>
    <w:next w:val="21"/>
    <w:link w:val="18"/>
    <w:qFormat/>
    <w:uiPriority w:val="0"/>
    <w:pPr>
      <w:autoSpaceDN w:val="0"/>
      <w:spacing w:beforeLines="0" w:afterLines="0"/>
      <w:ind w:firstLine="400"/>
      <w:outlineLvl w:val="2"/>
    </w:pPr>
  </w:style>
  <w:style w:type="paragraph" w:customStyle="1" w:styleId="23">
    <w:name w:val="附录二级条标题"/>
    <w:basedOn w:val="22"/>
    <w:next w:val="21"/>
    <w:qFormat/>
    <w:uiPriority w:val="0"/>
    <w:pPr>
      <w:outlineLvl w:val="3"/>
    </w:pPr>
  </w:style>
  <w:style w:type="paragraph" w:customStyle="1" w:styleId="24">
    <w:name w:val="列出段落2"/>
    <w:basedOn w:val="1"/>
    <w:qFormat/>
    <w:uiPriority w:val="34"/>
    <w:pPr>
      <w:ind w:firstLine="420" w:firstLineChars="200"/>
    </w:pPr>
    <w:rPr>
      <w:rFonts w:ascii="宋体" w:hAnsi="宋体" w:eastAsia="宋体" w:cs="Times New Roman"/>
      <w:sz w:val="24"/>
      <w:szCs w:val="24"/>
    </w:rPr>
  </w:style>
  <w:style w:type="paragraph" w:customStyle="1" w:styleId="25">
    <w:name w:val="列出段落21"/>
    <w:basedOn w:val="1"/>
    <w:qFormat/>
    <w:uiPriority w:val="0"/>
    <w:pPr>
      <w:ind w:firstLine="420" w:firstLineChars="200"/>
    </w:pPr>
    <w:rPr>
      <w:rFonts w:ascii="Calibri" w:hAnsi="Calibri" w:eastAsia="宋体" w:cs="Times New Roman"/>
    </w:rPr>
  </w:style>
  <w:style w:type="character" w:customStyle="1" w:styleId="26">
    <w:name w:val="批注文字 字符"/>
    <w:basedOn w:val="10"/>
    <w:link w:val="2"/>
    <w:semiHidden/>
    <w:qFormat/>
    <w:uiPriority w:val="99"/>
    <w:rPr>
      <w:rFonts w:asciiTheme="minorHAnsi" w:hAnsiTheme="minorHAnsi" w:eastAsiaTheme="minorEastAsia" w:cstheme="minorBidi"/>
      <w:kern w:val="2"/>
      <w:sz w:val="21"/>
      <w:szCs w:val="22"/>
    </w:rPr>
  </w:style>
  <w:style w:type="character" w:customStyle="1" w:styleId="27">
    <w:name w:val="批注主题 字符"/>
    <w:basedOn w:val="26"/>
    <w:link w:val="8"/>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1259</Words>
  <Characters>7181</Characters>
  <Lines>59</Lines>
  <Paragraphs>16</Paragraphs>
  <TotalTime>42</TotalTime>
  <ScaleCrop>false</ScaleCrop>
  <LinksUpToDate>false</LinksUpToDate>
  <CharactersWithSpaces>8424</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2023-12-04T02:45:00Z</dcterms:created>
  <dc:creator>张婷</dc:creator>
  <cp:lastModifiedBy>admin</cp:lastModifiedBy>
  <cp:lastPrinted>2023-04-14T05:47:00Z</cp:lastPrinted>
  <dcterms:modified xsi:type="dcterms:W3CDTF">2023-12-12T06:05:28Z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F7EB849EEDEC4956A1FAD55A62E8227E_13</vt:lpwstr>
  </property>
</Properties>
</file>