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560" w:lineRule="exact"/>
        <w:jc w:val="left"/>
        <w:rPr>
          <w:rFonts w:ascii="方正小标宋简体" w:hAnsi="方正小标宋简体" w:eastAsia="方正小标宋简体" w:cs="方正小标宋简体"/>
          <w:bCs/>
          <w:kern w:val="0"/>
          <w:sz w:val="44"/>
          <w:szCs w:val="44"/>
        </w:rPr>
      </w:pPr>
      <w:r>
        <w:rPr>
          <w:rFonts w:hint="eastAsia" w:ascii="楷体_GB2312" w:hAnsi="楷体_GB2312" w:eastAsia="楷体_GB2312" w:cs="楷体_GB2312"/>
          <w:kern w:val="0"/>
          <w:sz w:val="30"/>
          <w:szCs w:val="30"/>
          <w:lang w:val="en-US" w:eastAsia="zh-CN"/>
        </w:rPr>
        <w:t>区委常委会</w:t>
      </w:r>
      <w:r>
        <w:rPr>
          <w:rFonts w:hint="eastAsia" w:ascii="楷体_GB2312" w:hAnsi="楷体_GB2312" w:eastAsia="楷体_GB2312" w:cs="楷体_GB2312"/>
          <w:kern w:val="0"/>
          <w:sz w:val="30"/>
          <w:szCs w:val="30"/>
        </w:rPr>
        <w:t>会议材料</w:t>
      </w:r>
    </w:p>
    <w:p>
      <w:pPr>
        <w:shd w:val="solid" w:color="FFFFFF" w:fill="auto"/>
        <w:autoSpaceDN w:val="0"/>
        <w:spacing w:line="560" w:lineRule="exact"/>
        <w:jc w:val="center"/>
        <w:rPr>
          <w:rFonts w:ascii="华文中宋" w:hAnsi="华文中宋" w:eastAsia="华文中宋" w:cs="华文中宋"/>
          <w:sz w:val="44"/>
          <w:szCs w:val="44"/>
          <w:shd w:val="clear" w:color="auto" w:fill="FFFFFF"/>
        </w:rPr>
      </w:pPr>
    </w:p>
    <w:p>
      <w:pPr>
        <w:shd w:val="solid" w:color="FFFFFF" w:fill="auto"/>
        <w:autoSpaceDN w:val="0"/>
        <w:spacing w:line="560" w:lineRule="exact"/>
        <w:jc w:val="center"/>
        <w:rPr>
          <w:rFonts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关于《宁波市海曙区人民政府关于促进经济高质量发展“凤凰行动”计划的实施意见》（送审稿）的起草说明</w:t>
      </w:r>
    </w:p>
    <w:p>
      <w:pPr>
        <w:adjustRightInd w:val="0"/>
        <w:snapToGrid w:val="0"/>
        <w:spacing w:line="560" w:lineRule="exact"/>
        <w:jc w:val="center"/>
        <w:rPr>
          <w:rFonts w:ascii="楷体_GB2312" w:eastAsia="楷体_GB2312"/>
          <w:sz w:val="32"/>
          <w:szCs w:val="32"/>
        </w:rPr>
      </w:pPr>
      <w:r>
        <w:rPr>
          <w:rFonts w:hint="eastAsia" w:ascii="楷体_GB2312" w:eastAsia="楷体_GB2312"/>
          <w:sz w:val="32"/>
          <w:szCs w:val="32"/>
        </w:rPr>
        <w:t>区金融发展服务中心</w:t>
      </w:r>
    </w:p>
    <w:p>
      <w:pPr>
        <w:adjustRightInd w:val="0"/>
        <w:snapToGrid w:val="0"/>
        <w:spacing w:line="560" w:lineRule="exact"/>
        <w:jc w:val="center"/>
        <w:rPr>
          <w:rFonts w:ascii="楷体_GB2312" w:eastAsia="楷体_GB2312"/>
          <w:sz w:val="32"/>
          <w:szCs w:val="32"/>
        </w:rPr>
      </w:pPr>
      <w:r>
        <w:rPr>
          <w:rFonts w:hint="eastAsia" w:ascii="楷体_GB2312" w:eastAsia="楷体_GB2312"/>
          <w:sz w:val="32"/>
          <w:szCs w:val="32"/>
        </w:rPr>
        <w:t>2022年1月</w:t>
      </w:r>
    </w:p>
    <w:p>
      <w:pPr>
        <w:adjustRightInd w:val="0"/>
        <w:snapToGrid w:val="0"/>
        <w:spacing w:line="560" w:lineRule="exact"/>
        <w:jc w:val="center"/>
        <w:rPr>
          <w:rFonts w:ascii="楷体_GB2312" w:eastAsia="楷体_GB2312"/>
          <w:sz w:val="32"/>
          <w:szCs w:val="32"/>
        </w:rPr>
      </w:pPr>
    </w:p>
    <w:p>
      <w:pPr>
        <w:shd w:val="solid" w:color="FFFFFF" w:fill="auto"/>
        <w:autoSpaceDN w:val="0"/>
        <w:spacing w:line="560" w:lineRule="exact"/>
        <w:ind w:firstLine="640" w:firstLineChars="200"/>
        <w:rPr>
          <w:rFonts w:hint="default"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rPr>
        <w:t>为进一步发挥资本市场在资源优化配置和区域经济转型发展中的重要作用，助推我区</w:t>
      </w:r>
      <w:r>
        <w:rPr>
          <w:rFonts w:hint="eastAsia" w:ascii="仿宋_GB2312" w:hAnsi="仿宋_GB2312" w:eastAsia="仿宋_GB2312" w:cs="仿宋_GB2312"/>
          <w:sz w:val="32"/>
          <w:szCs w:val="32"/>
          <w:lang w:val="en-US" w:eastAsia="zh-CN"/>
        </w:rPr>
        <w:t>全面建设现代化滨海大都市卓越城区</w:t>
      </w:r>
      <w:r>
        <w:rPr>
          <w:rFonts w:hint="eastAsia" w:ascii="仿宋_GB2312" w:hAnsi="仿宋_GB2312" w:eastAsia="仿宋_GB2312" w:cs="仿宋_GB2312"/>
          <w:sz w:val="32"/>
          <w:szCs w:val="32"/>
        </w:rPr>
        <w:t>，根据《国务院关于进一步提高上市公司质量的意见》（国发〔2020〕14号，2020年10月）、《浙江省深入实施促进经济高质量发展“凤凰行动”计划》（浙政发〔2021〕6号，2021年4月）、《关于深入实施“凤凰行动”宁波计划促进经济高质量发展的若干意见》（甬政发〔2021〕48号，2021年10月）等文件精神，起草了《宁波市海曙区人民政府关于促进经济高质量发展“凤凰行动”计划的实施意见》，</w:t>
      </w:r>
      <w:r>
        <w:rPr>
          <w:rFonts w:hint="eastAsia" w:ascii="仿宋_GB2312" w:hAnsi="仿宋_GB2312" w:eastAsia="仿宋_GB2312" w:cs="仿宋_GB2312"/>
          <w:sz w:val="32"/>
          <w:szCs w:val="32"/>
          <w:lang w:val="en-US" w:eastAsia="zh-CN"/>
        </w:rPr>
        <w:t>以进一步加快区内</w:t>
      </w:r>
      <w:r>
        <w:rPr>
          <w:rFonts w:hint="eastAsia" w:ascii="仿宋_GB2312" w:hAnsi="仿宋_GB2312" w:eastAsia="仿宋_GB2312" w:cs="仿宋_GB2312"/>
          <w:sz w:val="32"/>
          <w:szCs w:val="32"/>
        </w:rPr>
        <w:t>企业上市和并购重组</w:t>
      </w:r>
      <w:r>
        <w:rPr>
          <w:rFonts w:hint="eastAsia" w:ascii="仿宋_GB2312" w:hAnsi="仿宋_GB2312" w:eastAsia="仿宋_GB2312" w:cs="仿宋_GB2312"/>
          <w:sz w:val="32"/>
          <w:szCs w:val="32"/>
          <w:lang w:val="en-US" w:eastAsia="zh-CN"/>
        </w:rPr>
        <w:t>步伐</w:t>
      </w:r>
      <w:r>
        <w:rPr>
          <w:rFonts w:hint="eastAsia" w:ascii="仿宋_GB2312" w:hAnsi="仿宋_GB2312" w:eastAsia="仿宋_GB2312" w:cs="仿宋_GB2312"/>
          <w:sz w:val="32"/>
          <w:szCs w:val="32"/>
        </w:rPr>
        <w:t>。</w:t>
      </w:r>
    </w:p>
    <w:p>
      <w:pPr>
        <w:shd w:val="solid" w:color="FFFFFF" w:fill="auto"/>
        <w:autoSpaceDN w:val="0"/>
        <w:spacing w:line="560" w:lineRule="exact"/>
        <w:ind w:firstLine="640" w:firstLineChars="200"/>
        <w:rPr>
          <w:rFonts w:ascii="仿宋_GB2312" w:hAnsi="仿宋_GB2312" w:eastAsia="仿宋_GB2312" w:cs="仿宋_GB2312"/>
          <w:sz w:val="32"/>
          <w:szCs w:val="32"/>
          <w:shd w:val="clear" w:color="auto" w:fill="FFFFFF"/>
        </w:rPr>
      </w:pPr>
      <w:r>
        <w:rPr>
          <w:rFonts w:hint="eastAsia" w:ascii="黑体" w:hAnsi="黑体" w:eastAsia="黑体" w:cs="黑体"/>
          <w:sz w:val="32"/>
          <w:szCs w:val="32"/>
          <w:shd w:val="clear" w:color="auto" w:fill="FFFFFF"/>
        </w:rPr>
        <w:t>一、起草背景和意义</w:t>
      </w:r>
    </w:p>
    <w:p>
      <w:pPr>
        <w:shd w:val="solid" w:color="FFFFFF" w:fill="auto"/>
        <w:autoSpaceDN w:val="0"/>
        <w:spacing w:line="560" w:lineRule="exact"/>
        <w:ind w:firstLine="643" w:firstLineChars="200"/>
        <w:rPr>
          <w:rFonts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（一）贯彻落实省市决策部署</w:t>
      </w: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lang w:val="en-US" w:eastAsia="zh-CN"/>
        </w:rPr>
        <w:t>引领实体经济发展</w:t>
      </w:r>
      <w:r>
        <w:rPr>
          <w:rFonts w:hint="eastAsia" w:ascii="楷体_GB2312" w:hAnsi="楷体_GB2312" w:eastAsia="楷体_GB2312" w:cs="楷体_GB2312"/>
          <w:b/>
          <w:bCs/>
          <w:color w:val="000000"/>
          <w:sz w:val="32"/>
          <w:szCs w:val="32"/>
        </w:rPr>
        <w:t>的需要。</w:t>
      </w:r>
      <w:r>
        <w:rPr>
          <w:rFonts w:hint="eastAsia" w:ascii="仿宋_GB2312" w:hAnsi="仿宋_GB2312" w:eastAsia="仿宋_GB2312" w:cs="仿宋_GB2312"/>
          <w:bCs/>
          <w:sz w:val="32"/>
          <w:szCs w:val="32"/>
        </w:rPr>
        <w:t>2021年3月，省政府出台了《浙江省深入实施促进经济高质量发展“凤凰行动”计划（2021-2025年）》。</w:t>
      </w:r>
      <w:r>
        <w:rPr>
          <w:rFonts w:hint="eastAsia" w:ascii="仿宋_GB2312" w:hAnsi="仿宋_GB2312" w:eastAsia="仿宋_GB2312" w:cs="仿宋_GB2312"/>
          <w:bCs/>
          <w:sz w:val="32"/>
          <w:szCs w:val="32"/>
          <w:lang w:val="en-US" w:eastAsia="zh-CN"/>
        </w:rPr>
        <w:t>在</w:t>
      </w:r>
      <w:r>
        <w:rPr>
          <w:rFonts w:hint="eastAsia" w:ascii="仿宋_GB2312" w:hAnsi="仿宋_GB2312" w:eastAsia="仿宋_GB2312" w:cs="仿宋_GB2312"/>
          <w:bCs/>
          <w:sz w:val="32"/>
          <w:szCs w:val="32"/>
        </w:rPr>
        <w:t>2021年5月召开的全省金融工作座谈会上，</w:t>
      </w:r>
      <w:r>
        <w:rPr>
          <w:rFonts w:hint="eastAsia" w:ascii="仿宋_GB2312" w:hAnsi="仿宋_GB2312" w:eastAsia="仿宋_GB2312" w:cs="仿宋_GB2312"/>
          <w:bCs/>
          <w:sz w:val="32"/>
          <w:szCs w:val="32"/>
          <w:lang w:val="en-US" w:eastAsia="zh-CN"/>
        </w:rPr>
        <w:t>省委书记</w:t>
      </w:r>
      <w:r>
        <w:rPr>
          <w:rFonts w:hint="eastAsia" w:ascii="仿宋_GB2312" w:hAnsi="仿宋_GB2312" w:eastAsia="仿宋_GB2312" w:cs="仿宋_GB2312"/>
          <w:bCs/>
          <w:sz w:val="32"/>
          <w:szCs w:val="32"/>
        </w:rPr>
        <w:t>对金融和上市工作作了</w:t>
      </w:r>
      <w:r>
        <w:rPr>
          <w:rFonts w:hint="eastAsia" w:ascii="仿宋_GB2312" w:hAnsi="仿宋_GB2312" w:eastAsia="仿宋_GB2312" w:cs="仿宋_GB2312"/>
          <w:bCs/>
          <w:sz w:val="32"/>
          <w:szCs w:val="32"/>
          <w:lang w:val="en-US" w:eastAsia="zh-CN"/>
        </w:rPr>
        <w:t>部署</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宁波</w:t>
      </w:r>
      <w:r>
        <w:rPr>
          <w:rFonts w:hint="eastAsia" w:ascii="仿宋_GB2312" w:hAnsi="仿宋_GB2312" w:eastAsia="仿宋_GB2312" w:cs="仿宋_GB2312"/>
          <w:color w:val="000000"/>
          <w:sz w:val="32"/>
          <w:szCs w:val="32"/>
          <w:lang w:val="en-US" w:eastAsia="zh-CN"/>
        </w:rPr>
        <w:t>市委市政府主要领导也</w:t>
      </w:r>
      <w:r>
        <w:rPr>
          <w:rFonts w:hint="eastAsia" w:ascii="仿宋_GB2312" w:hAnsi="仿宋_GB2312" w:eastAsia="仿宋_GB2312" w:cs="仿宋_GB2312"/>
          <w:color w:val="000000"/>
          <w:sz w:val="32"/>
          <w:szCs w:val="32"/>
        </w:rPr>
        <w:t>高度重视资本市场工作，对推进企业上市和提高上市公司质量都作出了指示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市政府</w:t>
      </w:r>
      <w:r>
        <w:rPr>
          <w:rFonts w:hint="eastAsia" w:ascii="仿宋_GB2312" w:hAnsi="仿宋_GB2312" w:eastAsia="仿宋_GB2312" w:cs="仿宋_GB2312"/>
          <w:color w:val="000000"/>
          <w:sz w:val="32"/>
          <w:szCs w:val="32"/>
          <w:lang w:val="en-US" w:eastAsia="zh-CN"/>
        </w:rPr>
        <w:t>于</w:t>
      </w:r>
      <w:r>
        <w:rPr>
          <w:rFonts w:hint="eastAsia" w:ascii="仿宋_GB2312" w:hAnsi="仿宋_GB2312" w:eastAsia="仿宋_GB2312" w:cs="仿宋_GB2312"/>
          <w:color w:val="000000"/>
          <w:sz w:val="32"/>
          <w:szCs w:val="32"/>
        </w:rPr>
        <w:t>2021年10月出台</w:t>
      </w:r>
      <w:r>
        <w:rPr>
          <w:rFonts w:hint="eastAsia" w:ascii="仿宋_GB2312" w:hAnsi="仿宋_GB2312" w:eastAsia="仿宋_GB2312" w:cs="仿宋_GB2312"/>
          <w:color w:val="000000"/>
          <w:sz w:val="32"/>
          <w:szCs w:val="32"/>
          <w:lang w:val="en-US" w:eastAsia="zh-CN"/>
        </w:rPr>
        <w:t>了</w:t>
      </w:r>
      <w:r>
        <w:rPr>
          <w:rFonts w:hint="eastAsia" w:ascii="仿宋_GB2312" w:hAnsi="仿宋_GB2312" w:eastAsia="仿宋_GB2312" w:cs="仿宋_GB2312"/>
          <w:color w:val="000000"/>
          <w:sz w:val="32"/>
          <w:szCs w:val="32"/>
        </w:rPr>
        <w:t>《关于深入实施“凤凰行动”宁波计划推动上市公司领跑高质量发展的实施意见》，力争到2025年末，实现上市公司数量200家，5年新增直接融资及并购重组规模1.2万亿以上。根据上级部署，为</w:t>
      </w:r>
      <w:r>
        <w:rPr>
          <w:rFonts w:hint="eastAsia" w:ascii="仿宋_GB2312" w:hAnsi="仿宋_GB2312" w:eastAsia="仿宋_GB2312" w:cs="仿宋_GB2312"/>
          <w:sz w:val="32"/>
          <w:szCs w:val="32"/>
        </w:rPr>
        <w:t>加大对我区企业上市和上市公司高质量发展的政策扶持和服务力度，引领实体经济高质量发展，</w:t>
      </w:r>
      <w:r>
        <w:rPr>
          <w:rFonts w:hint="eastAsia" w:ascii="仿宋_GB2312" w:hAnsi="仿宋_GB2312" w:eastAsia="仿宋_GB2312" w:cs="仿宋_GB2312"/>
          <w:color w:val="000000"/>
          <w:sz w:val="32"/>
          <w:szCs w:val="32"/>
        </w:rPr>
        <w:t>制定</w:t>
      </w:r>
      <w:r>
        <w:rPr>
          <w:rFonts w:hint="eastAsia" w:ascii="仿宋_GB2312" w:hAnsi="仿宋_GB2312" w:eastAsia="仿宋_GB2312" w:cs="仿宋_GB2312"/>
          <w:sz w:val="32"/>
          <w:szCs w:val="32"/>
        </w:rPr>
        <w:t>本</w:t>
      </w:r>
      <w:r>
        <w:rPr>
          <w:rFonts w:hint="eastAsia" w:ascii="仿宋_GB2312" w:hAnsi="仿宋_GB2312" w:eastAsia="仿宋_GB2312" w:cs="仿宋_GB2312"/>
          <w:color w:val="000000"/>
          <w:sz w:val="32"/>
          <w:szCs w:val="32"/>
        </w:rPr>
        <w:t>《意见》。</w:t>
      </w:r>
    </w:p>
    <w:p>
      <w:pPr>
        <w:wordWrap w:val="0"/>
        <w:spacing w:line="560" w:lineRule="exact"/>
        <w:ind w:firstLine="643" w:firstLineChars="200"/>
        <w:rPr>
          <w:rFonts w:ascii="仿宋_GB2312" w:hAnsi="仿宋_GB2312" w:eastAsia="仿宋_GB2312" w:cs="仿宋_GB2312"/>
          <w:bCs/>
          <w:sz w:val="32"/>
          <w:szCs w:val="32"/>
        </w:rPr>
      </w:pPr>
      <w:r>
        <w:rPr>
          <w:rFonts w:hint="eastAsia" w:ascii="楷体_GB2312" w:hAnsi="楷体_GB2312" w:eastAsia="楷体_GB2312" w:cs="楷体_GB2312"/>
          <w:b/>
          <w:bCs/>
          <w:color w:val="000000"/>
          <w:sz w:val="32"/>
          <w:szCs w:val="32"/>
        </w:rPr>
        <w:t>（二）有效应对区域竞争压力的需要。</w:t>
      </w:r>
      <w:r>
        <w:rPr>
          <w:rFonts w:hint="eastAsia" w:ascii="仿宋_GB2312" w:hAnsi="仿宋_GB2312" w:eastAsia="仿宋_GB2312" w:cs="仿宋_GB2312"/>
          <w:bCs/>
          <w:color w:val="000000"/>
          <w:sz w:val="32"/>
          <w:szCs w:val="32"/>
        </w:rPr>
        <w:t>我区目前上市企业15家，数量位居全市第</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，但我区资本市场发展目前面临较多问题，如上市公司市值偏小</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lang w:val="en-US" w:eastAsia="zh-CN"/>
        </w:rPr>
        <w:t>实力较弱</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上市后备力量不足</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企业上市意愿不强等。近年来，北仑、余姚等兄弟县</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市</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区资本市场表现抢眼，新</w:t>
      </w:r>
      <w:r>
        <w:rPr>
          <w:rFonts w:hint="eastAsia" w:ascii="仿宋_GB2312" w:hAnsi="仿宋_GB2312" w:eastAsia="仿宋_GB2312" w:cs="仿宋_GB2312"/>
          <w:bCs/>
          <w:sz w:val="32"/>
          <w:szCs w:val="32"/>
        </w:rPr>
        <w:t>增多家上市公司，大部分县</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市</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区均出台了新一轮“凤凰行动”计划，加大了政策扶持力度。我们希望通过出台《意见》，针对性解决以上问题，进一步调动企业参与资本市场的积极性，营造良好的资本市场氛围，缩短与兄弟县</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市</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区的差距。</w:t>
      </w:r>
    </w:p>
    <w:p>
      <w:pPr>
        <w:spacing w:line="560" w:lineRule="exact"/>
        <w:ind w:firstLine="643" w:firstLineChars="200"/>
        <w:rPr>
          <w:rFonts w:ascii="仿宋_GB2312" w:hAnsi="仿宋_GB2312" w:eastAsia="仿宋_GB2312" w:cs="仿宋_GB2312"/>
          <w:color w:val="000000"/>
          <w:kern w:val="0"/>
          <w:sz w:val="32"/>
          <w:szCs w:val="32"/>
        </w:rPr>
      </w:pPr>
      <w:r>
        <w:rPr>
          <w:rFonts w:hint="eastAsia" w:ascii="楷体_GB2312" w:hAnsi="楷体_GB2312" w:eastAsia="楷体_GB2312" w:cs="楷体_GB2312"/>
          <w:b/>
          <w:bCs/>
          <w:color w:val="000000"/>
          <w:sz w:val="32"/>
          <w:szCs w:val="32"/>
        </w:rPr>
        <w:t>（三）促进区域地方财力持续良性增长的需要。</w:t>
      </w:r>
      <w:r>
        <w:rPr>
          <w:rFonts w:hint="eastAsia" w:ascii="仿宋_GB2312" w:hAnsi="仿宋_GB2312" w:eastAsia="仿宋_GB2312" w:cs="仿宋_GB2312"/>
          <w:bCs/>
          <w:sz w:val="32"/>
          <w:szCs w:val="32"/>
        </w:rPr>
        <w:t>企业在上市过程中或者上市以后，由于监管要求、第三方中介机构监督以及来自投资者的压力，上市公司必须如实</w:t>
      </w:r>
      <w:r>
        <w:rPr>
          <w:rFonts w:hint="eastAsia" w:ascii="仿宋_GB2312" w:hAnsi="仿宋_GB2312" w:eastAsia="仿宋_GB2312" w:cs="仿宋_GB2312"/>
          <w:bCs/>
          <w:color w:val="000000"/>
          <w:sz w:val="32"/>
          <w:szCs w:val="32"/>
        </w:rPr>
        <w:t>反映自己的经营状况和业绩，规范纳税，将对地方财力增长产生</w:t>
      </w:r>
      <w:r>
        <w:rPr>
          <w:rFonts w:hint="eastAsia" w:ascii="仿宋_GB2312" w:hAnsi="仿宋_GB2312" w:eastAsia="仿宋_GB2312" w:cs="仿宋_GB2312"/>
          <w:bCs/>
          <w:sz w:val="32"/>
          <w:szCs w:val="32"/>
        </w:rPr>
        <w:t>长期</w:t>
      </w:r>
      <w:r>
        <w:rPr>
          <w:rFonts w:hint="eastAsia" w:ascii="仿宋_GB2312" w:hAnsi="仿宋_GB2312" w:eastAsia="仿宋_GB2312" w:cs="仿宋_GB2312"/>
          <w:bCs/>
          <w:color w:val="000000"/>
          <w:sz w:val="32"/>
          <w:szCs w:val="32"/>
        </w:rPr>
        <w:t>持续性影响。此外，企业上市以后通过投资新项目以及并购产业链上相关企业，将有助于上市公司增厚主业，快速做大做强，实现跨越式发展，提升经济效益，大幅增加地方财政贡献。</w:t>
      </w:r>
    </w:p>
    <w:p>
      <w:pPr>
        <w:shd w:val="solid" w:color="FFFFFF" w:fill="auto"/>
        <w:autoSpaceDN w:val="0"/>
        <w:spacing w:line="560" w:lineRule="exact"/>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二、起草过程</w:t>
      </w:r>
    </w:p>
    <w:p>
      <w:pPr>
        <w:spacing w:line="560" w:lineRule="exact"/>
        <w:ind w:firstLine="643"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color w:val="000000"/>
          <w:sz w:val="32"/>
          <w:szCs w:val="32"/>
        </w:rPr>
        <w:t>一是参考省、市两级的实施意见。</w:t>
      </w:r>
      <w:r>
        <w:rPr>
          <w:rFonts w:hint="eastAsia" w:ascii="仿宋_GB2312" w:hAnsi="仿宋_GB2312" w:eastAsia="仿宋_GB2312" w:cs="仿宋_GB2312"/>
          <w:color w:val="000000"/>
          <w:sz w:val="32"/>
          <w:szCs w:val="32"/>
        </w:rPr>
        <w:t>吸收结合省、市“凤凰行动”计划的主要条款，加强对企业上科创板、二次上市和上市企业再融资</w:t>
      </w:r>
      <w:r>
        <w:rPr>
          <w:rFonts w:hint="eastAsia" w:ascii="仿宋_GB2312" w:hAnsi="仿宋_GB2312" w:eastAsia="仿宋_GB2312" w:cs="仿宋_GB2312"/>
          <w:sz w:val="32"/>
          <w:szCs w:val="32"/>
        </w:rPr>
        <w:t>扶持力度。</w:t>
      </w:r>
      <w:r>
        <w:rPr>
          <w:rFonts w:hint="eastAsia" w:ascii="仿宋_GB2312" w:hAnsi="仿宋_GB2312" w:eastAsia="仿宋_GB2312" w:cs="仿宋_GB2312"/>
          <w:b/>
          <w:bCs/>
          <w:sz w:val="32"/>
          <w:szCs w:val="32"/>
        </w:rPr>
        <w:t>二是汇总梳理各县</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市</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区的政策举措。</w:t>
      </w:r>
      <w:r>
        <w:rPr>
          <w:rFonts w:hint="eastAsia" w:ascii="仿宋_GB2312" w:hAnsi="仿宋_GB2312" w:eastAsia="仿宋_GB2312" w:cs="仿宋_GB2312"/>
          <w:sz w:val="32"/>
          <w:szCs w:val="32"/>
          <w:lang w:val="en-US" w:eastAsia="zh-CN"/>
        </w:rPr>
        <w:t>通过</w:t>
      </w:r>
      <w:r>
        <w:rPr>
          <w:rFonts w:hint="eastAsia" w:ascii="仿宋_GB2312" w:hAnsi="仿宋_GB2312" w:eastAsia="仿宋_GB2312" w:cs="仿宋_GB2312"/>
          <w:sz w:val="32"/>
          <w:szCs w:val="32"/>
        </w:rPr>
        <w:t>深入研究比对兄弟县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区最新的扶持政策，在上一轮政策的基础上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我们</w:t>
      </w:r>
      <w:r>
        <w:rPr>
          <w:rFonts w:hint="eastAsia" w:ascii="仿宋_GB2312" w:hAnsi="仿宋_GB2312" w:eastAsia="仿宋_GB2312" w:cs="仿宋_GB2312"/>
          <w:sz w:val="32"/>
          <w:szCs w:val="32"/>
        </w:rPr>
        <w:t>不断优化调整，</w:t>
      </w:r>
      <w:r>
        <w:rPr>
          <w:rFonts w:hint="eastAsia" w:ascii="仿宋_GB2312" w:hAnsi="仿宋_GB2312" w:eastAsia="仿宋_GB2312" w:cs="仿宋_GB2312"/>
          <w:sz w:val="32"/>
          <w:szCs w:val="32"/>
          <w:lang w:val="en-US" w:eastAsia="zh-CN"/>
        </w:rPr>
        <w:t>重点是提高</w:t>
      </w:r>
      <w:r>
        <w:rPr>
          <w:rFonts w:hint="eastAsia" w:ascii="仿宋_GB2312" w:hAnsi="仿宋_GB2312" w:eastAsia="仿宋_GB2312" w:cs="仿宋_GB2312"/>
          <w:sz w:val="32"/>
          <w:szCs w:val="32"/>
        </w:rPr>
        <w:t>补助力度，我区本轮政策力度</w:t>
      </w:r>
      <w:r>
        <w:rPr>
          <w:rFonts w:hint="eastAsia" w:ascii="仿宋_GB2312" w:hAnsi="仿宋_GB2312" w:eastAsia="仿宋_GB2312" w:cs="仿宋_GB2312"/>
          <w:sz w:val="32"/>
          <w:szCs w:val="32"/>
          <w:lang w:val="en-US" w:eastAsia="zh-CN"/>
        </w:rPr>
        <w:t>位于</w:t>
      </w:r>
      <w:r>
        <w:rPr>
          <w:rFonts w:hint="eastAsia" w:ascii="仿宋_GB2312" w:hAnsi="仿宋_GB2312" w:eastAsia="仿宋_GB2312" w:cs="仿宋_GB2312"/>
          <w:sz w:val="32"/>
          <w:szCs w:val="32"/>
        </w:rPr>
        <w:t>全市</w:t>
      </w:r>
      <w:r>
        <w:rPr>
          <w:rFonts w:hint="eastAsia" w:ascii="仿宋_GB2312" w:hAnsi="仿宋_GB2312" w:eastAsia="仿宋_GB2312" w:cs="仿宋_GB2312"/>
          <w:sz w:val="32"/>
          <w:szCs w:val="32"/>
          <w:lang w:val="en-US" w:eastAsia="zh-CN"/>
        </w:rPr>
        <w:t>前列</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sz w:val="32"/>
          <w:szCs w:val="32"/>
        </w:rPr>
        <w:t>三是</w:t>
      </w:r>
      <w:r>
        <w:rPr>
          <w:rFonts w:hint="eastAsia" w:ascii="仿宋_GB2312" w:hAnsi="仿宋_GB2312" w:eastAsia="仿宋_GB2312" w:cs="仿宋_GB2312"/>
          <w:b/>
          <w:bCs/>
          <w:color w:val="000000"/>
          <w:sz w:val="32"/>
          <w:szCs w:val="32"/>
          <w:lang w:val="en-US" w:eastAsia="zh-CN"/>
        </w:rPr>
        <w:t>调研了解</w:t>
      </w:r>
      <w:r>
        <w:rPr>
          <w:rFonts w:hint="eastAsia" w:ascii="仿宋_GB2312" w:hAnsi="仿宋_GB2312" w:eastAsia="仿宋_GB2312" w:cs="仿宋_GB2312"/>
          <w:b/>
          <w:bCs/>
          <w:color w:val="000000"/>
          <w:sz w:val="32"/>
          <w:szCs w:val="32"/>
        </w:rPr>
        <w:t>企业需求。</w:t>
      </w:r>
      <w:r>
        <w:rPr>
          <w:rFonts w:hint="eastAsia" w:ascii="仿宋_GB2312" w:hAnsi="仿宋_GB2312" w:eastAsia="仿宋_GB2312" w:cs="仿宋_GB2312"/>
          <w:color w:val="000000"/>
          <w:sz w:val="32"/>
          <w:szCs w:val="32"/>
        </w:rPr>
        <w:t>在走访拟上市企业</w:t>
      </w:r>
      <w:r>
        <w:rPr>
          <w:rFonts w:hint="eastAsia" w:ascii="仿宋_GB2312" w:hAnsi="仿宋_GB2312" w:eastAsia="仿宋_GB2312" w:cs="仿宋_GB2312"/>
          <w:color w:val="000000"/>
          <w:sz w:val="32"/>
          <w:szCs w:val="32"/>
          <w:lang w:val="en-US" w:eastAsia="zh-CN"/>
        </w:rPr>
        <w:t>的</w:t>
      </w:r>
      <w:r>
        <w:rPr>
          <w:rFonts w:hint="eastAsia" w:ascii="仿宋_GB2312" w:hAnsi="仿宋_GB2312" w:eastAsia="仿宋_GB2312" w:cs="仿宋_GB2312"/>
          <w:color w:val="000000"/>
          <w:sz w:val="32"/>
          <w:szCs w:val="32"/>
        </w:rPr>
        <w:t>过程中</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积极征求企业意见，围绕解决企业上市核心需求，对企业股改的成本问题进行考虑，同时对企业上市前进行分阶段补助，代替之前的一次性补助，提升企业上市积极性。</w:t>
      </w:r>
      <w:r>
        <w:rPr>
          <w:rFonts w:hint="eastAsia" w:ascii="仿宋_GB2312" w:hAnsi="仿宋_GB2312" w:eastAsia="仿宋_GB2312" w:cs="仿宋_GB2312"/>
          <w:b/>
          <w:bCs/>
          <w:color w:val="000000"/>
          <w:sz w:val="32"/>
          <w:szCs w:val="32"/>
        </w:rPr>
        <w:t>四是</w:t>
      </w:r>
      <w:r>
        <w:rPr>
          <w:rFonts w:hint="eastAsia" w:ascii="仿宋_GB2312" w:hAnsi="仿宋_GB2312" w:eastAsia="仿宋_GB2312" w:cs="仿宋_GB2312"/>
          <w:b/>
          <w:bCs/>
          <w:color w:val="000000"/>
          <w:sz w:val="32"/>
          <w:szCs w:val="32"/>
          <w:lang w:val="en-US" w:eastAsia="zh-CN"/>
        </w:rPr>
        <w:t>匹配最新政策要求</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color w:val="000000"/>
          <w:sz w:val="32"/>
          <w:szCs w:val="32"/>
        </w:rPr>
        <w:t>针对北交所成立，新增了鼓励企业去北交所上市和新三板创新层挂牌的政策补助内容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同时</w:t>
      </w:r>
      <w:r>
        <w:rPr>
          <w:rFonts w:hint="eastAsia" w:ascii="仿宋_GB2312" w:hAnsi="仿宋_GB2312" w:eastAsia="仿宋_GB2312" w:cs="仿宋_GB2312"/>
          <w:color w:val="000000"/>
          <w:sz w:val="32"/>
          <w:szCs w:val="32"/>
        </w:rPr>
        <w:t>结合上一轮政策</w:t>
      </w:r>
      <w:r>
        <w:rPr>
          <w:rFonts w:hint="eastAsia" w:ascii="仿宋_GB2312" w:hAnsi="仿宋_GB2312" w:eastAsia="仿宋_GB2312" w:cs="仿宋_GB2312"/>
          <w:sz w:val="32"/>
          <w:szCs w:val="32"/>
        </w:rPr>
        <w:t>兑现中的具体问题</w:t>
      </w:r>
      <w:r>
        <w:rPr>
          <w:rFonts w:hint="eastAsia" w:ascii="仿宋_GB2312" w:hAnsi="仿宋_GB2312" w:eastAsia="仿宋_GB2312" w:cs="仿宋_GB2312"/>
          <w:color w:val="000000"/>
          <w:sz w:val="32"/>
          <w:szCs w:val="32"/>
        </w:rPr>
        <w:t>进行</w:t>
      </w:r>
      <w:r>
        <w:rPr>
          <w:rFonts w:hint="eastAsia" w:ascii="仿宋_GB2312" w:hAnsi="仿宋_GB2312" w:eastAsia="仿宋_GB2312" w:cs="仿宋_GB2312"/>
          <w:color w:val="000000"/>
          <w:sz w:val="32"/>
          <w:szCs w:val="32"/>
          <w:lang w:val="en-US" w:eastAsia="zh-CN"/>
        </w:rPr>
        <w:t>针对性</w:t>
      </w:r>
      <w:r>
        <w:rPr>
          <w:rFonts w:hint="eastAsia" w:ascii="仿宋_GB2312" w:hAnsi="仿宋_GB2312" w:eastAsia="仿宋_GB2312" w:cs="仿宋_GB2312"/>
          <w:color w:val="000000"/>
          <w:sz w:val="32"/>
          <w:szCs w:val="32"/>
        </w:rPr>
        <w:t>修订，提高政策</w:t>
      </w:r>
      <w:r>
        <w:rPr>
          <w:rFonts w:hint="eastAsia" w:ascii="仿宋_GB2312" w:hAnsi="仿宋_GB2312" w:eastAsia="仿宋_GB2312" w:cs="仿宋_GB2312"/>
          <w:color w:val="000000"/>
          <w:sz w:val="32"/>
          <w:szCs w:val="32"/>
          <w:lang w:val="en-US" w:eastAsia="zh-CN"/>
        </w:rPr>
        <w:t>的</w:t>
      </w:r>
      <w:r>
        <w:rPr>
          <w:rFonts w:hint="eastAsia" w:ascii="仿宋_GB2312" w:hAnsi="仿宋_GB2312" w:eastAsia="仿宋_GB2312" w:cs="仿宋_GB2312"/>
          <w:color w:val="000000"/>
          <w:sz w:val="32"/>
          <w:szCs w:val="32"/>
        </w:rPr>
        <w:t>可操作性</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color w:val="000000"/>
          <w:sz w:val="32"/>
          <w:szCs w:val="32"/>
        </w:rPr>
        <w:t>五是广泛征求各方意见。</w:t>
      </w:r>
      <w:r>
        <w:rPr>
          <w:rFonts w:hint="eastAsia" w:ascii="仿宋_GB2312" w:hAnsi="仿宋_GB2312" w:eastAsia="仿宋_GB2312" w:cs="仿宋_GB2312"/>
          <w:color w:val="000000"/>
          <w:sz w:val="32"/>
          <w:szCs w:val="32"/>
        </w:rPr>
        <w:t>向22家相关部门</w:t>
      </w:r>
      <w:r>
        <w:rPr>
          <w:rFonts w:hint="eastAsia" w:ascii="仿宋_GB2312" w:hAnsi="仿宋_GB2312" w:eastAsia="仿宋_GB2312" w:cs="仿宋_GB2312"/>
          <w:color w:val="000000"/>
          <w:sz w:val="32"/>
          <w:szCs w:val="32"/>
          <w:lang w:val="en-US" w:eastAsia="zh-CN"/>
        </w:rPr>
        <w:t>和</w:t>
      </w:r>
      <w:r>
        <w:rPr>
          <w:rFonts w:hint="eastAsia" w:ascii="仿宋_GB2312" w:hAnsi="仿宋_GB2312" w:eastAsia="仿宋_GB2312" w:cs="仿宋_GB2312"/>
          <w:color w:val="000000"/>
          <w:sz w:val="32"/>
          <w:szCs w:val="32"/>
        </w:rPr>
        <w:t>单位征求意见，重点与区财政局进行了多次对接，并吸纳了相关意见。在区政府信息公开网上</w:t>
      </w:r>
      <w:r>
        <w:rPr>
          <w:rFonts w:hint="eastAsia" w:ascii="仿宋_GB2312" w:hAnsi="仿宋_GB2312" w:eastAsia="仿宋_GB2312" w:cs="仿宋_GB2312"/>
          <w:color w:val="000000"/>
          <w:sz w:val="32"/>
          <w:szCs w:val="32"/>
          <w:lang w:val="en-US" w:eastAsia="zh-CN"/>
        </w:rPr>
        <w:t>面向社会</w:t>
      </w:r>
      <w:r>
        <w:rPr>
          <w:rFonts w:hint="eastAsia" w:ascii="仿宋_GB2312" w:hAnsi="仿宋_GB2312" w:eastAsia="仿宋_GB2312" w:cs="仿宋_GB2312"/>
          <w:color w:val="000000"/>
          <w:sz w:val="32"/>
          <w:szCs w:val="32"/>
        </w:rPr>
        <w:t>征求意见，并经区府办法规科合法性审查和区公平竞争审查工作联席会议办公室公平竞争审查，根据提出的意见进行了修改完善。</w:t>
      </w:r>
    </w:p>
    <w:p>
      <w:pPr>
        <w:shd w:val="solid" w:color="FFFFFF" w:fill="auto"/>
        <w:autoSpaceDN w:val="0"/>
        <w:spacing w:line="560" w:lineRule="exact"/>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三、主要内容</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《意见》共分七部分，提出十三条具体举措。</w:t>
      </w:r>
    </w:p>
    <w:p>
      <w:pPr>
        <w:wordWrap w:val="0"/>
        <w:spacing w:line="560" w:lineRule="exact"/>
        <w:ind w:firstLine="643" w:firstLineChars="200"/>
        <w:rPr>
          <w:rFonts w:ascii="仿宋_GB2312" w:hAnsi="仿宋_GB2312" w:eastAsia="仿宋_GB2312" w:cs="仿宋_GB2312"/>
          <w:sz w:val="32"/>
          <w:szCs w:val="32"/>
          <w:highlight w:val="yellow"/>
        </w:rPr>
      </w:pPr>
      <w:r>
        <w:rPr>
          <w:rFonts w:hint="eastAsia" w:ascii="楷体_GB2312" w:hAnsi="楷体_GB2312" w:eastAsia="楷体_GB2312" w:cs="楷体_GB2312"/>
          <w:b/>
          <w:bCs/>
          <w:sz w:val="32"/>
          <w:szCs w:val="32"/>
        </w:rPr>
        <w:t>（一）关于指导思想和主要目标。</w:t>
      </w:r>
      <w:r>
        <w:rPr>
          <w:rFonts w:hint="eastAsia" w:ascii="仿宋_GB2312" w:hAnsi="仿宋_GB2312" w:eastAsia="仿宋_GB2312" w:cs="仿宋_GB2312"/>
          <w:sz w:val="32"/>
          <w:szCs w:val="32"/>
        </w:rPr>
        <w:t>提出要围绕高质量发展建设共同富裕样板区，以新发展理念为引领，以全面深化资本市场改革为契机，推动更多企业对接多层次资本市场，促进上市公司提升发展质量，更好地发挥示范引领作用，为我区加快建设现代产业体系提供新动能，力争2026年末全区境内外上市公司数量达到30家；新三板和宁波股权交易中心挂牌企业达到500家；重点上市后备企业常年保持20家左右；上市公司总市值超过900亿元，新增2家超百亿市值公司；5年累计直接融资额超300亿元。</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（二）开展上市后备梯队培育行动。</w:t>
      </w:r>
      <w:r>
        <w:rPr>
          <w:rFonts w:hint="eastAsia" w:ascii="仿宋_GB2312" w:hAnsi="仿宋_GB2312" w:eastAsia="仿宋_GB2312" w:cs="仿宋_GB2312"/>
          <w:bCs/>
          <w:sz w:val="32"/>
          <w:szCs w:val="32"/>
          <w:lang w:val="zh-CN"/>
        </w:rPr>
        <w:t>分为</w:t>
      </w:r>
      <w:r>
        <w:rPr>
          <w:rFonts w:hint="eastAsia" w:ascii="仿宋_GB2312" w:hAnsi="仿宋_GB2312" w:eastAsia="仿宋_GB2312" w:cs="仿宋_GB2312"/>
          <w:bCs/>
          <w:sz w:val="32"/>
          <w:szCs w:val="32"/>
        </w:rPr>
        <w:t>加大上市后备企业培育力度、加快企业股份制改造、推动企业挂牌上市进程、鼓励企业境内外多渠道上市四</w:t>
      </w:r>
      <w:r>
        <w:rPr>
          <w:rFonts w:hint="eastAsia" w:ascii="仿宋_GB2312" w:hAnsi="仿宋_GB2312" w:eastAsia="仿宋_GB2312" w:cs="仿宋_GB2312"/>
          <w:bCs/>
          <w:sz w:val="32"/>
          <w:szCs w:val="32"/>
          <w:lang w:val="zh-CN"/>
        </w:rPr>
        <w:t>方面内容。</w:t>
      </w:r>
      <w:r>
        <w:rPr>
          <w:rFonts w:hint="eastAsia" w:ascii="仿宋_GB2312" w:hAnsi="仿宋_GB2312" w:eastAsia="仿宋_GB2312" w:cs="仿宋_GB2312"/>
          <w:b/>
          <w:bCs/>
          <w:sz w:val="32"/>
          <w:szCs w:val="32"/>
        </w:rPr>
        <w:t>企业股份制改造方面，</w:t>
      </w:r>
      <w:r>
        <w:rPr>
          <w:rFonts w:hint="eastAsia" w:ascii="仿宋_GB2312" w:hAnsi="仿宋_GB2312" w:eastAsia="仿宋_GB2312" w:cs="仿宋_GB2312"/>
          <w:sz w:val="32"/>
          <w:szCs w:val="32"/>
        </w:rPr>
        <w:t>企业与中介机构签订上市服务协议或新三板挂牌服务协议并完成股改变更的给予补助。</w:t>
      </w:r>
      <w:r>
        <w:rPr>
          <w:rFonts w:hint="eastAsia" w:ascii="仿宋_GB2312" w:hAnsi="仿宋_GB2312" w:eastAsia="仿宋_GB2312" w:cs="仿宋_GB2312"/>
          <w:b/>
          <w:bCs/>
          <w:sz w:val="32"/>
          <w:szCs w:val="32"/>
        </w:rPr>
        <w:t>推动企业挂牌上市进程方面，</w:t>
      </w:r>
      <w:r>
        <w:rPr>
          <w:rFonts w:hint="eastAsia" w:ascii="仿宋_GB2312" w:hAnsi="仿宋_GB2312" w:eastAsia="仿宋_GB2312" w:cs="仿宋_GB2312"/>
          <w:sz w:val="32"/>
          <w:szCs w:val="32"/>
        </w:rPr>
        <w:t>细化境内挂牌上市进程，分新三板创新层挂牌、上市辅导备案、证监会或交易所材料受理、发行审核通过等四个阶段进行补助，或对企业挂牌上市产生的成本进行一次性补助，企业可择高享受，强化政策引导作用。</w:t>
      </w:r>
      <w:r>
        <w:rPr>
          <w:rFonts w:hint="eastAsia" w:ascii="仿宋_GB2312" w:hAnsi="仿宋_GB2312" w:eastAsia="仿宋_GB2312" w:cs="仿宋_GB2312"/>
          <w:b/>
          <w:bCs/>
          <w:sz w:val="32"/>
          <w:szCs w:val="32"/>
        </w:rPr>
        <w:t>企业境内外上市方面，</w:t>
      </w:r>
      <w:r>
        <w:rPr>
          <w:rFonts w:hint="eastAsia" w:ascii="仿宋_GB2312" w:hAnsi="仿宋_GB2312" w:eastAsia="仿宋_GB2312" w:cs="仿宋_GB2312"/>
          <w:sz w:val="32"/>
          <w:szCs w:val="32"/>
        </w:rPr>
        <w:t>境内上市成功后给予一次性补助，境外上市根据融资规模给予相应补助，新增科创板上市、二次上市补助。对区外迁入我区的上市和新三板创新层企业，分别给予补助。对区外迁入我区的拟上市公司给予我区拟上市企业同等补助政策。宁波股交中心挂牌及融资补助根据市级最新政策另行制定。</w:t>
      </w:r>
    </w:p>
    <w:p>
      <w:pPr>
        <w:autoSpaceDN w:val="0"/>
        <w:spacing w:line="560" w:lineRule="exact"/>
        <w:ind w:firstLine="643" w:firstLineChars="200"/>
        <w:rPr>
          <w:rFonts w:ascii="仿宋_GB2312" w:hAnsi="仿宋_GB2312" w:eastAsia="仿宋_GB2312" w:cs="仿宋_GB2312"/>
          <w:bCs/>
          <w:sz w:val="32"/>
          <w:szCs w:val="32"/>
        </w:rPr>
      </w:pPr>
      <w:r>
        <w:rPr>
          <w:rFonts w:hint="eastAsia" w:ascii="楷体_GB2312" w:hAnsi="楷体_GB2312" w:eastAsia="楷体_GB2312" w:cs="楷体_GB2312"/>
          <w:b/>
          <w:bCs/>
          <w:sz w:val="32"/>
          <w:szCs w:val="32"/>
        </w:rPr>
        <w:t>（三）开展上市公司引领升级行动。</w:t>
      </w:r>
      <w:r>
        <w:rPr>
          <w:rFonts w:hint="eastAsia" w:ascii="仿宋_GB2312" w:hAnsi="仿宋_GB2312" w:eastAsia="仿宋_GB2312" w:cs="仿宋_GB2312"/>
          <w:bCs/>
          <w:sz w:val="32"/>
          <w:szCs w:val="32"/>
          <w:lang w:val="zh-CN"/>
        </w:rPr>
        <w:t>分为</w:t>
      </w:r>
      <w:r>
        <w:rPr>
          <w:rFonts w:hint="eastAsia" w:ascii="仿宋_GB2312" w:hAnsi="仿宋_GB2312" w:eastAsia="仿宋_GB2312" w:cs="仿宋_GB2312"/>
          <w:bCs/>
          <w:sz w:val="32"/>
          <w:szCs w:val="32"/>
        </w:rPr>
        <w:t>发挥上市公司产业头雁效应和创新引领效应、鼓励上市公司开展并购重组、推动上市公司开展再融资、提高资本市场风险防控处置水平四</w:t>
      </w:r>
      <w:r>
        <w:rPr>
          <w:rFonts w:hint="eastAsia" w:ascii="仿宋_GB2312" w:hAnsi="仿宋_GB2312" w:eastAsia="仿宋_GB2312" w:cs="仿宋_GB2312"/>
          <w:bCs/>
          <w:sz w:val="32"/>
          <w:szCs w:val="32"/>
          <w:lang w:val="zh-CN"/>
        </w:rPr>
        <w:t>方面内容。</w:t>
      </w:r>
      <w:r>
        <w:rPr>
          <w:rFonts w:hint="eastAsia" w:ascii="仿宋_GB2312" w:hAnsi="仿宋_GB2312" w:eastAsia="仿宋_GB2312" w:cs="仿宋_GB2312"/>
          <w:sz w:val="32"/>
          <w:szCs w:val="32"/>
        </w:rPr>
        <w:t>发挥上市公司作用方面，提出发挥上市公司品牌引领、产业引领以及人才科技引领等优势，开展以数字化赋能为代表的产业改造提升。并购重组政策方面，达到一定条件的，给予一定额度补助，已享受市级政策补助的不再重复享受。上市公司再融资方面，参照市级政策，提高补助力度，加入了募集资金需投资在我区和不含房地产投资的限制，并鼓励区外募投项目落户我区，可享受同等政策。</w:t>
      </w:r>
      <w:r>
        <w:rPr>
          <w:rFonts w:hint="eastAsia" w:ascii="仿宋_GB2312" w:hAnsi="仿宋_GB2312" w:eastAsia="仿宋_GB2312" w:cs="仿宋_GB2312"/>
          <w:bCs/>
          <w:sz w:val="32"/>
          <w:szCs w:val="32"/>
        </w:rPr>
        <w:t>提高资本市场风险防控处置水平方面，提出压实企业主体责任和地方属地责任，完善公司治理制度，建立风险监测机制，共同努力化解风险。</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（四）开展资本市场氛围营造行动。</w:t>
      </w:r>
      <w:r>
        <w:rPr>
          <w:rFonts w:hint="eastAsia" w:ascii="仿宋_GB2312" w:hAnsi="仿宋_GB2312" w:eastAsia="仿宋_GB2312" w:cs="仿宋_GB2312"/>
          <w:sz w:val="32"/>
          <w:szCs w:val="32"/>
          <w:lang w:val="zh-CN"/>
        </w:rPr>
        <w:t>分为</w:t>
      </w:r>
      <w:r>
        <w:rPr>
          <w:rFonts w:hint="eastAsia" w:ascii="仿宋_GB2312" w:hAnsi="仿宋_GB2312" w:eastAsia="仿宋_GB2312" w:cs="仿宋_GB2312"/>
          <w:sz w:val="32"/>
          <w:szCs w:val="32"/>
        </w:rPr>
        <w:t>大力发展股权投资基金、提升资本市场活动质量</w:t>
      </w:r>
      <w:r>
        <w:rPr>
          <w:rFonts w:hint="eastAsia" w:ascii="仿宋_GB2312" w:hAnsi="仿宋_GB2312" w:eastAsia="仿宋_GB2312" w:cs="仿宋_GB2312"/>
          <w:sz w:val="32"/>
          <w:szCs w:val="32"/>
          <w:lang w:val="zh-CN"/>
        </w:rPr>
        <w:t>两方面内容。发展股权投资基金方面，提出</w:t>
      </w:r>
      <w:r>
        <w:rPr>
          <w:rFonts w:hint="eastAsia" w:ascii="仿宋_GB2312" w:hAnsi="仿宋_GB2312" w:eastAsia="仿宋_GB2312" w:cs="仿宋_GB2312"/>
          <w:sz w:val="32"/>
          <w:szCs w:val="32"/>
        </w:rPr>
        <w:t>设立政府产业投资基金，撬动各类社会资本投资和引进符合我区产业发展导向的企业。提升资本市场活动质量方面，提出</w:t>
      </w:r>
      <w:r>
        <w:rPr>
          <w:rFonts w:hint="eastAsia" w:ascii="仿宋_GB2312" w:hAnsi="仿宋_GB2312" w:eastAsia="仿宋_GB2312" w:cs="仿宋_GB2312"/>
          <w:sz w:val="32"/>
          <w:szCs w:val="32"/>
          <w:lang w:val="zh-CN"/>
        </w:rPr>
        <w:t>创新各类活动形式，加强上市企业、拟上市企业董事长、董秘等群体的关注，深入挖掘企业需求，实现精准对接，</w:t>
      </w:r>
      <w:r>
        <w:rPr>
          <w:rFonts w:hint="eastAsia" w:ascii="仿宋_GB2312" w:hAnsi="仿宋_GB2312" w:eastAsia="仿宋_GB2312" w:cs="仿宋_GB2312"/>
          <w:sz w:val="32"/>
          <w:szCs w:val="32"/>
        </w:rPr>
        <w:t>提升活动质量和效果，</w:t>
      </w:r>
      <w:r>
        <w:rPr>
          <w:rFonts w:hint="eastAsia" w:ascii="仿宋_GB2312" w:hAnsi="仿宋_GB2312" w:eastAsia="仿宋_GB2312" w:cs="仿宋_GB2312"/>
          <w:color w:val="000000"/>
          <w:sz w:val="32"/>
          <w:szCs w:val="32"/>
        </w:rPr>
        <w:t>努力营造有利于我区资本市场发展的氛围。</w:t>
      </w:r>
    </w:p>
    <w:p>
      <w:pPr>
        <w:spacing w:line="560" w:lineRule="exact"/>
        <w:ind w:firstLine="643" w:firstLineChars="200"/>
        <w:contextualSpacing/>
        <w:rPr>
          <w:rFonts w:ascii="仿宋_GB2312" w:hAnsi="仿宋_GB2312" w:eastAsia="仿宋_GB2312" w:cs="仿宋_GB2312"/>
          <w:snapToGrid w:val="0"/>
          <w:kern w:val="0"/>
          <w:sz w:val="32"/>
          <w:szCs w:val="32"/>
        </w:rPr>
      </w:pPr>
      <w:r>
        <w:rPr>
          <w:rFonts w:hint="eastAsia" w:ascii="楷体_GB2312" w:hAnsi="楷体_GB2312" w:eastAsia="楷体_GB2312" w:cs="楷体_GB2312"/>
          <w:b/>
          <w:bCs/>
          <w:sz w:val="32"/>
          <w:szCs w:val="32"/>
        </w:rPr>
        <w:t>（五）保障措施。</w:t>
      </w:r>
      <w:r>
        <w:rPr>
          <w:rFonts w:hint="eastAsia" w:ascii="仿宋_GB2312" w:hAnsi="仿宋_GB2312" w:eastAsia="仿宋_GB2312" w:cs="仿宋_GB2312"/>
          <w:sz w:val="32"/>
          <w:szCs w:val="32"/>
          <w:lang w:val="zh-CN"/>
        </w:rPr>
        <w:t>分为加强工作推进合力、加大资源要素倾斜、加强督查考核三方面内容。加强工作推进合力方面，提出</w:t>
      </w:r>
      <w:r>
        <w:rPr>
          <w:rFonts w:hint="eastAsia" w:ascii="仿宋_GB2312" w:hAnsi="仿宋_GB2312" w:eastAsia="仿宋_GB2312" w:cs="仿宋_GB2312"/>
          <w:sz w:val="32"/>
          <w:szCs w:val="32"/>
        </w:rPr>
        <w:t>进一步发挥区资本市场工作领导小组作用，</w:t>
      </w:r>
      <w:r>
        <w:rPr>
          <w:rFonts w:hint="eastAsia" w:ascii="仿宋_GB2312" w:hAnsi="仿宋_GB2312" w:eastAsia="仿宋_GB2312" w:cs="仿宋_GB2312"/>
          <w:color w:val="000000"/>
          <w:sz w:val="32"/>
          <w:szCs w:val="32"/>
        </w:rPr>
        <w:t>建立企业上市工作合力推进机制，切实帮助企业解决上市道路上的困难问题。</w:t>
      </w:r>
      <w:r>
        <w:rPr>
          <w:rFonts w:hint="eastAsia" w:ascii="仿宋_GB2312" w:hAnsi="仿宋_GB2312" w:eastAsia="仿宋_GB2312" w:cs="仿宋_GB2312"/>
          <w:sz w:val="32"/>
          <w:szCs w:val="32"/>
          <w:lang w:val="zh-CN"/>
        </w:rPr>
        <w:t>加大资源要素倾斜方面，提出</w:t>
      </w:r>
      <w:r>
        <w:rPr>
          <w:rFonts w:hint="eastAsia" w:ascii="仿宋_GB2312" w:hAnsi="仿宋_GB2312" w:eastAsia="仿宋_GB2312" w:cs="仿宋_GB2312"/>
          <w:color w:val="000000"/>
          <w:sz w:val="32"/>
          <w:szCs w:val="32"/>
        </w:rPr>
        <w:t>加大对上市和上市后备企业资源要素特别是</w:t>
      </w:r>
      <w:r>
        <w:rPr>
          <w:rFonts w:hint="eastAsia" w:ascii="仿宋_GB2312" w:hAnsi="仿宋_GB2312" w:eastAsia="仿宋_GB2312" w:cs="仿宋_GB2312"/>
          <w:sz w:val="32"/>
          <w:szCs w:val="32"/>
        </w:rPr>
        <w:t>土地供给，建立拟上市企业国资跟投机制，</w:t>
      </w:r>
      <w:r>
        <w:rPr>
          <w:rFonts w:hint="eastAsia" w:ascii="仿宋_GB2312" w:hAnsi="仿宋_GB2312" w:eastAsia="仿宋_GB2312" w:cs="仿宋_GB2312"/>
          <w:snapToGrid w:val="0"/>
          <w:kern w:val="0"/>
          <w:sz w:val="32"/>
          <w:szCs w:val="32"/>
        </w:rPr>
        <w:t>助力潜力优质企业加快迈入资本市场。</w:t>
      </w:r>
      <w:r>
        <w:rPr>
          <w:rFonts w:hint="eastAsia" w:ascii="仿宋_GB2312" w:hAnsi="仿宋_GB2312" w:eastAsia="仿宋_GB2312" w:cs="仿宋_GB2312"/>
          <w:sz w:val="32"/>
          <w:szCs w:val="32"/>
          <w:lang w:val="zh-CN"/>
        </w:rPr>
        <w:t>加强督查考核方面，提出</w:t>
      </w:r>
      <w:r>
        <w:rPr>
          <w:rFonts w:hint="eastAsia" w:ascii="仿宋_GB2312" w:hAnsi="仿宋_GB2312" w:eastAsia="仿宋_GB2312" w:cs="仿宋_GB2312"/>
          <w:color w:val="000000"/>
          <w:sz w:val="32"/>
          <w:szCs w:val="32"/>
        </w:rPr>
        <w:t>进一步发挥资本市场工作目标管理考核导向性，充分调动各镇（乡）、街道、园区积极性，发挥资本市场联络员作用。</w:t>
      </w:r>
    </w:p>
    <w:p>
      <w:pPr>
        <w:spacing w:line="560" w:lineRule="exact"/>
        <w:ind w:firstLine="643" w:firstLineChars="200"/>
        <w:rPr>
          <w:rFonts w:ascii="仿宋_GB2312" w:hAnsi="仿宋_GB2312" w:eastAsia="仿宋_GB2312" w:cs="仿宋_GB2312"/>
          <w:color w:val="000000"/>
          <w:sz w:val="32"/>
          <w:szCs w:val="32"/>
        </w:rPr>
      </w:pPr>
      <w:r>
        <w:rPr>
          <w:rFonts w:hint="eastAsia" w:ascii="楷体_GB2312" w:hAnsi="楷体_GB2312" w:eastAsia="楷体_GB2312" w:cs="楷体_GB2312"/>
          <w:b/>
          <w:bCs/>
          <w:sz w:val="32"/>
          <w:szCs w:val="32"/>
        </w:rPr>
        <w:t>（六）附则。</w:t>
      </w:r>
      <w:r>
        <w:rPr>
          <w:rFonts w:hint="eastAsia" w:ascii="仿宋_GB2312" w:hAnsi="仿宋_GB2312" w:eastAsia="仿宋_GB2312" w:cs="仿宋_GB2312"/>
          <w:sz w:val="32"/>
          <w:szCs w:val="32"/>
        </w:rPr>
        <w:t>明确了政策解释、有效期等。《意见》自2021年1月1日起施行，主要考虑上一轮政策已于2020年末到期，需要明确新老政策衔接的时间节点。</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color w:val="000000"/>
          <w:sz w:val="32"/>
          <w:szCs w:val="32"/>
        </w:rPr>
        <w:t>特此说明。</w:t>
      </w:r>
    </w:p>
    <w:p>
      <w:pPr>
        <w:spacing w:line="560" w:lineRule="exact"/>
        <w:ind w:firstLine="640" w:firstLineChars="200"/>
        <w:jc w:val="center"/>
        <w:rPr>
          <w:rFonts w:ascii="仿宋_GB2312" w:hAnsi="仿宋_GB2312" w:eastAsia="仿宋_GB2312" w:cs="仿宋_GB2312"/>
          <w:sz w:val="32"/>
          <w:szCs w:val="32"/>
        </w:rPr>
      </w:pPr>
    </w:p>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附件：宁波市海曙区人民政府关于促进经济高质量发展“凤凰行动”计划的实施意见（送审稿）</w:t>
      </w:r>
    </w:p>
    <w:p>
      <w:pPr>
        <w:pStyle w:val="4"/>
        <w:spacing w:before="0" w:beforeAutospacing="0" w:after="0" w:afterAutospacing="0" w:line="620" w:lineRule="exact"/>
        <w:jc w:val="both"/>
        <w:rPr>
          <w:rFonts w:ascii="方正小标宋简体" w:eastAsia="方正小标宋简体"/>
          <w:sz w:val="44"/>
          <w:szCs w:val="44"/>
        </w:rPr>
      </w:pPr>
    </w:p>
    <w:p>
      <w:pPr>
        <w:rPr>
          <w:rFonts w:ascii="方正小标宋简体" w:eastAsia="方正小标宋简体"/>
          <w:sz w:val="44"/>
          <w:szCs w:val="44"/>
        </w:rPr>
      </w:pPr>
      <w:r>
        <w:rPr>
          <w:rFonts w:ascii="方正小标宋简体" w:eastAsia="方正小标宋简体"/>
          <w:sz w:val="44"/>
          <w:szCs w:val="44"/>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创艺简标宋" w:eastAsia="方正小标宋简体" w:cs="仿宋"/>
          <w:color w:val="000000"/>
          <w:sz w:val="44"/>
          <w:szCs w:val="44"/>
        </w:rPr>
      </w:pPr>
      <w:r>
        <w:rPr>
          <w:rFonts w:hint="eastAsia" w:ascii="方正小标宋简体" w:hAnsi="创艺简标宋" w:eastAsia="方正小标宋简体" w:cs="仿宋"/>
          <w:color w:val="000000"/>
          <w:sz w:val="44"/>
          <w:szCs w:val="44"/>
        </w:rPr>
        <w:t>宁波市</w:t>
      </w:r>
      <w:r>
        <w:rPr>
          <w:rFonts w:ascii="方正小标宋简体" w:hAnsi="创艺简标宋" w:eastAsia="方正小标宋简体" w:cs="仿宋"/>
          <w:color w:val="000000"/>
          <w:sz w:val="44"/>
          <w:szCs w:val="44"/>
        </w:rPr>
        <w:t>海曙区人民政府</w:t>
      </w:r>
      <w:r>
        <w:rPr>
          <w:rFonts w:hint="eastAsia" w:ascii="方正小标宋简体" w:hAnsi="创艺简标宋" w:eastAsia="方正小标宋简体" w:cs="仿宋"/>
          <w:color w:val="000000"/>
          <w:sz w:val="44"/>
          <w:szCs w:val="44"/>
        </w:rPr>
        <w:t>关于促进经济</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创艺简标宋" w:eastAsia="方正小标宋简体" w:cs="仿宋"/>
          <w:color w:val="000000"/>
          <w:sz w:val="44"/>
          <w:szCs w:val="44"/>
        </w:rPr>
      </w:pPr>
      <w:r>
        <w:rPr>
          <w:rFonts w:hint="eastAsia" w:ascii="方正小标宋简体" w:hAnsi="创艺简标宋" w:eastAsia="方正小标宋简体" w:cs="仿宋"/>
          <w:color w:val="000000"/>
          <w:sz w:val="44"/>
          <w:szCs w:val="44"/>
        </w:rPr>
        <w:t>高质量发展“凤凰行动”计划的实施意见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_GB2312" w:eastAsia="仿宋_GB2312"/>
          <w:sz w:val="32"/>
          <w:szCs w:val="32"/>
        </w:rPr>
      </w:pPr>
      <w:r>
        <w:rPr>
          <w:rFonts w:hint="eastAsia" w:ascii="楷体_GB2312" w:hAnsi="楷体_GB2312" w:eastAsia="楷体_GB2312" w:cs="楷体_GB2312"/>
          <w:sz w:val="32"/>
          <w:szCs w:val="32"/>
        </w:rPr>
        <w:t>（送审稿）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hAnsi="仿宋" w:eastAsia="仿宋_GB2312" w:cs="仿宋"/>
          <w:color w:val="000000"/>
          <w:sz w:val="32"/>
          <w:szCs w:val="32"/>
        </w:rPr>
        <w:t>为贯彻落实省、市两级“凤凰行动”计划，</w:t>
      </w:r>
      <w:r>
        <w:rPr>
          <w:rFonts w:hint="eastAsia" w:ascii="仿宋_GB2312" w:eastAsia="仿宋_GB2312"/>
          <w:sz w:val="32"/>
          <w:szCs w:val="32"/>
        </w:rPr>
        <w:t>持续深化政策引导，进一步发挥资本市场</w:t>
      </w:r>
      <w:r>
        <w:rPr>
          <w:rFonts w:hint="eastAsia" w:ascii="仿宋_GB2312" w:hAnsi="仿宋" w:eastAsia="仿宋_GB2312" w:cs="仿宋"/>
          <w:color w:val="000000"/>
          <w:sz w:val="32"/>
          <w:szCs w:val="32"/>
        </w:rPr>
        <w:t>在资源优化配置和区域经济转型发展中的重要作用</w:t>
      </w:r>
      <w:r>
        <w:rPr>
          <w:rFonts w:hint="eastAsia" w:ascii="仿宋_GB2312" w:eastAsia="仿宋_GB2312"/>
          <w:sz w:val="32"/>
          <w:szCs w:val="32"/>
          <w:lang w:eastAsia="zh-CN"/>
        </w:rPr>
        <w:t>，</w:t>
      </w:r>
      <w:r>
        <w:rPr>
          <w:rFonts w:hint="eastAsia" w:ascii="仿宋_GB2312" w:eastAsia="仿宋_GB2312"/>
          <w:sz w:val="32"/>
          <w:szCs w:val="32"/>
        </w:rPr>
        <w:t>根据《国务院关于进一步提高上市公司质量的意见》（国发〔2020〕14号）、《浙江省深入实施促进经济高质量发展“凤凰行动”计划》（浙政发〔2021〕6号）、《关于深入实施“凤凰行动”宁波计划促进经济高质量发展的若干意见》（甬政发〔2021〕48号）等文件精神，提出如下实施意见。</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widowControl w:val="0"/>
        <w:kinsoku/>
        <w:wordWrap/>
        <w:overflowPunct/>
        <w:topLinePunct w:val="0"/>
        <w:autoSpaceDE/>
        <w:bidi w:val="0"/>
        <w:adjustRightInd/>
        <w:snapToGrid/>
        <w:spacing w:line="600" w:lineRule="exact"/>
        <w:ind w:firstLine="630"/>
        <w:textAlignment w:val="auto"/>
        <w:rPr>
          <w:rFonts w:hint="eastAsia" w:ascii="仿宋_GB2312" w:eastAsia="仿宋_GB2312"/>
          <w:sz w:val="32"/>
          <w:szCs w:val="32"/>
          <w:lang w:eastAsia="zh-CN"/>
        </w:rPr>
      </w:pPr>
      <w:r>
        <w:rPr>
          <w:rFonts w:hint="eastAsia" w:ascii="仿宋_GB2312" w:eastAsia="仿宋_GB2312"/>
          <w:sz w:val="32"/>
          <w:szCs w:val="32"/>
        </w:rPr>
        <w:t>高举习近平新时代中国特色社会主义思想伟大旗帜，深入贯彻党的十九大和十九届</w:t>
      </w:r>
      <w:r>
        <w:rPr>
          <w:rFonts w:hint="eastAsia" w:ascii="仿宋_GB2312" w:eastAsia="仿宋_GB2312"/>
          <w:sz w:val="32"/>
          <w:szCs w:val="32"/>
          <w:lang w:val="en-US" w:eastAsia="zh-CN"/>
        </w:rPr>
        <w:t>历次</w:t>
      </w:r>
      <w:r>
        <w:rPr>
          <w:rFonts w:hint="eastAsia" w:ascii="仿宋_GB2312" w:eastAsia="仿宋_GB2312"/>
          <w:sz w:val="32"/>
          <w:szCs w:val="32"/>
        </w:rPr>
        <w:t>全会精神，围绕高质量发展建设共同富裕样板区，以新发展理念为引领，以全面深化资本市场改革为契机，推动更多企业对接多层次资本市场，促进上市公司提升发展质量，更好地发挥示范引领作用，为</w:t>
      </w:r>
      <w:r>
        <w:rPr>
          <w:rFonts w:hint="eastAsia" w:ascii="仿宋_GB2312" w:eastAsia="仿宋_GB2312"/>
          <w:sz w:val="32"/>
          <w:szCs w:val="32"/>
          <w:lang w:val="en-US" w:eastAsia="zh-CN"/>
        </w:rPr>
        <w:t>海曙</w:t>
      </w:r>
      <w:bookmarkStart w:id="0" w:name="_GoBack"/>
      <w:bookmarkEnd w:id="0"/>
      <w:r>
        <w:rPr>
          <w:rFonts w:hint="eastAsia" w:ascii="仿宋_GB2312" w:eastAsia="仿宋_GB2312"/>
          <w:sz w:val="32"/>
          <w:szCs w:val="32"/>
        </w:rPr>
        <w:t>加快建设现代产业体系提供新动能</w:t>
      </w:r>
      <w:r>
        <w:rPr>
          <w:rFonts w:hint="eastAsia" w:ascii="仿宋_GB2312" w:eastAsia="仿宋_GB2312"/>
          <w:sz w:val="32"/>
          <w:szCs w:val="32"/>
          <w:lang w:eastAsia="zh-CN"/>
        </w:rPr>
        <w:t>，</w:t>
      </w:r>
      <w:r>
        <w:rPr>
          <w:rFonts w:hint="eastAsia" w:ascii="仿宋_GB2312" w:eastAsia="仿宋_GB2312"/>
          <w:sz w:val="32"/>
          <w:szCs w:val="32"/>
        </w:rPr>
        <w:t>助推</w:t>
      </w:r>
      <w:r>
        <w:rPr>
          <w:rFonts w:hint="eastAsia" w:ascii="仿宋_GB2312" w:eastAsia="仿宋_GB2312"/>
          <w:sz w:val="32"/>
          <w:szCs w:val="32"/>
          <w:lang w:val="en-US" w:eastAsia="zh-CN"/>
        </w:rPr>
        <w:t>我区</w:t>
      </w:r>
      <w:r>
        <w:rPr>
          <w:rFonts w:hint="eastAsia" w:ascii="仿宋_GB2312" w:hAnsi="仿宋_GB2312" w:eastAsia="仿宋_GB2312" w:cs="仿宋_GB2312"/>
          <w:sz w:val="32"/>
          <w:szCs w:val="32"/>
          <w:lang w:val="en-US" w:eastAsia="zh-CN"/>
        </w:rPr>
        <w:t>全面建设现代化滨海大都市卓越城区。</w:t>
      </w:r>
    </w:p>
    <w:p>
      <w:pPr>
        <w:keepNext w:val="0"/>
        <w:keepLines w:val="0"/>
        <w:pageBreakBefore w:val="0"/>
        <w:widowControl w:val="0"/>
        <w:kinsoku/>
        <w:wordWrap/>
        <w:overflowPunct/>
        <w:topLinePunct w:val="0"/>
        <w:autoSpaceDE/>
        <w:bidi w:val="0"/>
        <w:adjustRightInd/>
        <w:snapToGrid/>
        <w:spacing w:line="600" w:lineRule="exact"/>
        <w:ind w:firstLine="630"/>
        <w:textAlignment w:val="auto"/>
        <w:rPr>
          <w:rFonts w:ascii="黑体" w:hAnsi="黑体" w:eastAsia="黑体"/>
          <w:sz w:val="32"/>
          <w:szCs w:val="32"/>
        </w:rPr>
      </w:pPr>
      <w:r>
        <w:rPr>
          <w:rFonts w:hint="eastAsia" w:ascii="黑体" w:hAnsi="黑体" w:eastAsia="黑体"/>
          <w:sz w:val="32"/>
          <w:szCs w:val="32"/>
        </w:rPr>
        <w:t>二、主要目标</w:t>
      </w:r>
    </w:p>
    <w:p>
      <w:pPr>
        <w:keepNext w:val="0"/>
        <w:keepLines w:val="0"/>
        <w:pageBreakBefore w:val="0"/>
        <w:widowControl w:val="0"/>
        <w:kinsoku/>
        <w:wordWrap/>
        <w:overflowPunct/>
        <w:topLinePunct w:val="0"/>
        <w:autoSpaceDE/>
        <w:bidi w:val="0"/>
        <w:adjustRightInd/>
        <w:snapToGrid/>
        <w:spacing w:line="600" w:lineRule="exact"/>
        <w:ind w:firstLine="630"/>
        <w:textAlignment w:val="auto"/>
        <w:rPr>
          <w:rFonts w:ascii="仿宋_GB2312" w:eastAsia="仿宋_GB2312"/>
          <w:sz w:val="32"/>
          <w:szCs w:val="32"/>
        </w:rPr>
      </w:pPr>
      <w:r>
        <w:rPr>
          <w:rFonts w:hint="eastAsia" w:ascii="仿宋_GB2312" w:eastAsia="仿宋_GB2312"/>
          <w:sz w:val="32"/>
          <w:szCs w:val="32"/>
        </w:rPr>
        <w:t>经过6年（2021-2026年）努力，我区多层次资本市场主体培育取得一定成效，全区资本市场氛围浓厚，一批企业利用资本市场成功做大做强做优。</w:t>
      </w:r>
      <w:r>
        <w:rPr>
          <w:rFonts w:hint="eastAsia" w:ascii="仿宋_GB2312" w:eastAsia="仿宋_GB2312"/>
          <w:b/>
          <w:sz w:val="32"/>
          <w:szCs w:val="32"/>
        </w:rPr>
        <w:t>一是资本市场主体数量进一步增长。</w:t>
      </w:r>
      <w:r>
        <w:rPr>
          <w:rFonts w:hint="eastAsia" w:ascii="仿宋_GB2312" w:eastAsia="仿宋_GB2312"/>
          <w:sz w:val="32"/>
          <w:szCs w:val="32"/>
        </w:rPr>
        <w:t>力争2026年末全区境内外上市公司数量达到30家</w:t>
      </w:r>
      <w:r>
        <w:rPr>
          <w:rFonts w:hint="eastAsia" w:ascii="仿宋_GB2312" w:eastAsia="仿宋_GB2312"/>
          <w:sz w:val="32"/>
          <w:szCs w:val="32"/>
          <w:lang w:eastAsia="zh-CN"/>
        </w:rPr>
        <w:t>，</w:t>
      </w:r>
      <w:r>
        <w:rPr>
          <w:rFonts w:hint="eastAsia" w:ascii="仿宋_GB2312" w:eastAsia="仿宋_GB2312"/>
          <w:sz w:val="32"/>
          <w:szCs w:val="32"/>
        </w:rPr>
        <w:t>新三板和宁波股权交易中心挂牌企业达到500家。</w:t>
      </w:r>
      <w:r>
        <w:rPr>
          <w:rFonts w:hint="eastAsia" w:ascii="仿宋_GB2312" w:eastAsia="仿宋_GB2312"/>
          <w:b/>
          <w:sz w:val="32"/>
          <w:szCs w:val="32"/>
        </w:rPr>
        <w:t>二是上市后备力量进一步夯实。</w:t>
      </w:r>
      <w:r>
        <w:rPr>
          <w:rFonts w:hint="eastAsia" w:ascii="仿宋_GB2312" w:eastAsia="仿宋_GB2312"/>
          <w:sz w:val="32"/>
          <w:szCs w:val="32"/>
        </w:rPr>
        <w:t>建立分层分级的上市企业后备梯队，其中重点上市后备企业常年保持20家左右</w:t>
      </w:r>
      <w:r>
        <w:rPr>
          <w:rFonts w:hint="eastAsia" w:ascii="仿宋_GB2312" w:eastAsia="仿宋_GB2312"/>
          <w:sz w:val="32"/>
          <w:szCs w:val="32"/>
          <w:lang w:eastAsia="zh-CN"/>
        </w:rPr>
        <w:t>，</w:t>
      </w:r>
      <w:r>
        <w:rPr>
          <w:rFonts w:hint="eastAsia" w:ascii="仿宋_GB2312" w:eastAsia="仿宋_GB2312"/>
          <w:sz w:val="32"/>
          <w:szCs w:val="32"/>
        </w:rPr>
        <w:t>为我区上市工作培育储备力量打下良好基础。</w:t>
      </w:r>
      <w:r>
        <w:rPr>
          <w:rFonts w:hint="eastAsia" w:ascii="仿宋_GB2312" w:eastAsia="仿宋_GB2312"/>
          <w:b/>
          <w:sz w:val="32"/>
          <w:szCs w:val="32"/>
        </w:rPr>
        <w:t>三是上市公司发展质量进一步提升。</w:t>
      </w:r>
      <w:r>
        <w:rPr>
          <w:rFonts w:hint="eastAsia" w:ascii="仿宋_GB2312" w:eastAsia="仿宋_GB2312"/>
          <w:sz w:val="32"/>
          <w:szCs w:val="32"/>
        </w:rPr>
        <w:t>到2026年末，全区上市公司总市值超过900亿元，新增2家超百亿市值公司</w:t>
      </w:r>
      <w:r>
        <w:rPr>
          <w:rFonts w:hint="eastAsia" w:ascii="仿宋_GB2312" w:eastAsia="仿宋_GB2312"/>
          <w:sz w:val="32"/>
          <w:szCs w:val="32"/>
          <w:lang w:eastAsia="zh-CN"/>
        </w:rPr>
        <w:t>，</w:t>
      </w:r>
      <w:r>
        <w:rPr>
          <w:rFonts w:hint="eastAsia" w:ascii="仿宋_GB2312" w:eastAsia="仿宋_GB2312"/>
          <w:sz w:val="32"/>
          <w:szCs w:val="32"/>
        </w:rPr>
        <w:t>上市公司开展有效并购重组，</w:t>
      </w:r>
      <w:r>
        <w:rPr>
          <w:rFonts w:hint="eastAsia" w:ascii="仿宋_GB2312" w:hAnsi="仿宋_GB2312" w:eastAsia="仿宋_GB2312" w:cs="仿宋_GB2312"/>
          <w:sz w:val="32"/>
          <w:szCs w:val="32"/>
        </w:rPr>
        <w:t>公司治理和内部控制更加规范，盈利能力和抗风险能力不断增强，风险公司数量和主要风险指标在全市处于较低水平。</w:t>
      </w:r>
      <w:r>
        <w:rPr>
          <w:rFonts w:hint="eastAsia" w:ascii="仿宋_GB2312" w:hAnsi="仿宋_GB2312" w:eastAsia="仿宋_GB2312" w:cs="仿宋_GB2312"/>
          <w:b/>
          <w:sz w:val="32"/>
          <w:szCs w:val="32"/>
        </w:rPr>
        <w:t>四是资本市场产业引领作用进一步显现。</w:t>
      </w:r>
      <w:r>
        <w:rPr>
          <w:rFonts w:hint="eastAsia" w:ascii="仿宋_GB2312" w:eastAsia="仿宋_GB2312"/>
          <w:sz w:val="32"/>
          <w:szCs w:val="32"/>
        </w:rPr>
        <w:t>企业利用资本市场融资手段更加丰富，融资模式不断创新，融资渠道不断拓展，力争2026年末全区累计直接融资额超300亿元</w:t>
      </w:r>
      <w:r>
        <w:rPr>
          <w:rFonts w:hint="eastAsia" w:ascii="仿宋_GB2312" w:eastAsia="仿宋_GB2312"/>
          <w:sz w:val="32"/>
          <w:szCs w:val="32"/>
          <w:lang w:eastAsia="zh-CN"/>
        </w:rPr>
        <w:t>，</w:t>
      </w:r>
      <w:r>
        <w:rPr>
          <w:rFonts w:hint="eastAsia" w:ascii="仿宋_GB2312" w:eastAsia="仿宋_GB2312"/>
          <w:sz w:val="32"/>
          <w:szCs w:val="32"/>
        </w:rPr>
        <w:t>上市公司和上市后备企业产业结构更加优化，战略性新兴产业和</w:t>
      </w:r>
      <w:r>
        <w:rPr>
          <w:rFonts w:hint="eastAsia" w:ascii="仿宋_GB2312" w:hAnsi="仿宋" w:eastAsia="仿宋_GB2312"/>
          <w:sz w:val="32"/>
          <w:szCs w:val="32"/>
        </w:rPr>
        <w:t>创新型、高成长型、细分行业头部企业占比不断提高。</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sz w:val="32"/>
          <w:szCs w:val="32"/>
        </w:rPr>
        <w:t>三、开展上市后备梯队培育行动</w:t>
      </w:r>
    </w:p>
    <w:p>
      <w:pPr>
        <w:keepNext w:val="0"/>
        <w:keepLines w:val="0"/>
        <w:pageBreakBefore w:val="0"/>
        <w:widowControl w:val="0"/>
        <w:kinsoku/>
        <w:wordWrap/>
        <w:overflowPunct/>
        <w:topLinePunct w:val="0"/>
        <w:autoSpaceDE/>
        <w:bidi w:val="0"/>
        <w:adjustRightInd/>
        <w:snapToGrid/>
        <w:spacing w:line="600" w:lineRule="exact"/>
        <w:ind w:firstLine="640" w:firstLineChars="200"/>
        <w:contextualSpacing/>
        <w:textAlignment w:val="auto"/>
        <w:rPr>
          <w:rFonts w:ascii="仿宋_GB2312" w:eastAsia="仿宋_GB2312"/>
          <w:snapToGrid w:val="0"/>
          <w:kern w:val="0"/>
          <w:sz w:val="32"/>
          <w:szCs w:val="32"/>
        </w:rPr>
      </w:pPr>
      <w:r>
        <w:rPr>
          <w:rFonts w:hint="eastAsia" w:ascii="楷体_GB2312" w:hAnsi="黑体" w:eastAsia="楷体_GB2312"/>
          <w:sz w:val="32"/>
          <w:szCs w:val="32"/>
        </w:rPr>
        <w:t>（一）加大上市后备企业培育力度。</w:t>
      </w:r>
      <w:r>
        <w:rPr>
          <w:rFonts w:hint="eastAsia" w:ascii="仿宋_GB2312" w:eastAsia="仿宋_GB2312"/>
          <w:sz w:val="32"/>
          <w:szCs w:val="30"/>
        </w:rPr>
        <w:t>加强</w:t>
      </w:r>
      <w:r>
        <w:rPr>
          <w:rFonts w:hint="eastAsia" w:eastAsia="仿宋_GB2312"/>
          <w:sz w:val="32"/>
          <w:lang w:val="en-US" w:eastAsia="zh-CN"/>
        </w:rPr>
        <w:t>我区</w:t>
      </w:r>
      <w:r>
        <w:rPr>
          <w:rFonts w:hint="eastAsia" w:eastAsia="仿宋_GB2312"/>
          <w:sz w:val="32"/>
        </w:rPr>
        <w:t>上市后备企业梯队建设，</w:t>
      </w:r>
      <w:r>
        <w:rPr>
          <w:rFonts w:hint="eastAsia" w:ascii="仿宋_GB2312" w:eastAsia="仿宋_GB2312"/>
          <w:sz w:val="32"/>
          <w:szCs w:val="30"/>
        </w:rPr>
        <w:t>重点围绕</w:t>
      </w:r>
      <w:r>
        <w:rPr>
          <w:rFonts w:hint="eastAsia" w:eastAsia="仿宋_GB2312"/>
          <w:sz w:val="32"/>
        </w:rPr>
        <w:t>国家高新技术企业、单项冠军、隐形冠军、专精特新“小巨人”、人才企业等开展筛选</w:t>
      </w:r>
      <w:r>
        <w:rPr>
          <w:rFonts w:hint="eastAsia" w:ascii="仿宋_GB2312" w:eastAsia="仿宋_GB2312"/>
          <w:sz w:val="32"/>
          <w:szCs w:val="30"/>
        </w:rPr>
        <w:t>，根据企业上市意愿、上市阶段和上市潜力进行分类，实施分层、动态管理，对不同梯队的企业提供差异服务，实现精准有效培育，</w:t>
      </w:r>
      <w:r>
        <w:rPr>
          <w:rFonts w:hint="eastAsia" w:eastAsia="仿宋_GB2312"/>
          <w:sz w:val="32"/>
        </w:rPr>
        <w:t>优化企业上市环境，进一步激发企业对接资本市场的积极性</w:t>
      </w:r>
      <w:r>
        <w:rPr>
          <w:rFonts w:hint="eastAsia" w:ascii="仿宋_GB2312" w:eastAsia="仿宋_GB2312"/>
          <w:sz w:val="32"/>
          <w:szCs w:val="30"/>
        </w:rPr>
        <w:t>。</w:t>
      </w:r>
      <w:r>
        <w:rPr>
          <w:rFonts w:hint="eastAsia" w:ascii="仿宋_GB2312" w:hAnsi="仿宋" w:eastAsia="仿宋_GB2312"/>
          <w:sz w:val="32"/>
          <w:szCs w:val="32"/>
        </w:rPr>
        <w:t>加强招商引资力度，积极引进科技含量高、具备核心竞争力、成长性强的潜力企业作为上市资源储备，努力培育壮大。</w:t>
      </w:r>
      <w:r>
        <w:rPr>
          <w:rFonts w:hint="eastAsia" w:ascii="仿宋_GB2312" w:eastAsia="仿宋_GB2312"/>
          <w:sz w:val="32"/>
          <w:szCs w:val="30"/>
        </w:rPr>
        <w:t>进入区上市后备企业库的企业将成为全区</w:t>
      </w:r>
      <w:r>
        <w:rPr>
          <w:rFonts w:hint="eastAsia" w:eastAsia="仿宋_GB2312"/>
          <w:sz w:val="32"/>
        </w:rPr>
        <w:t>各部门重点培育扶持对象</w:t>
      </w:r>
      <w:r>
        <w:rPr>
          <w:rFonts w:hint="eastAsia" w:ascii="仿宋_GB2312" w:eastAsia="仿宋_GB2312"/>
          <w:sz w:val="32"/>
          <w:szCs w:val="30"/>
        </w:rPr>
        <w:t>，</w:t>
      </w:r>
      <w:r>
        <w:rPr>
          <w:rFonts w:hint="eastAsia" w:eastAsia="仿宋_GB2312"/>
          <w:sz w:val="32"/>
        </w:rPr>
        <w:t>享受问题协调服务、要素资源倾斜、精准培训辅导、投融资需求对接等方面的支持。</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ascii="仿宋_GB2312" w:hAnsi="黑体" w:eastAsia="仿宋_GB2312"/>
          <w:sz w:val="32"/>
          <w:szCs w:val="32"/>
        </w:rPr>
      </w:pPr>
      <w:r>
        <w:rPr>
          <w:rFonts w:hint="eastAsia" w:ascii="楷体_GB2312" w:hAnsi="黑体" w:eastAsia="楷体_GB2312"/>
          <w:sz w:val="32"/>
          <w:szCs w:val="32"/>
        </w:rPr>
        <w:t>（二）加快企业股份制改造。</w:t>
      </w:r>
      <w:r>
        <w:rPr>
          <w:rFonts w:hint="eastAsia" w:ascii="仿宋_GB2312" w:hAnsi="黑体" w:eastAsia="仿宋_GB2312"/>
          <w:sz w:val="32"/>
          <w:szCs w:val="32"/>
        </w:rPr>
        <w:t>鼓励符合我区产业政策导向的企业改制为股份有限公司，建立现代企业制度。企业为上市聘请具有证券从业资格的中介机构实施改制，新设或变更设立股份有限公司的，在与保荐机构、会计师事务所、律师事务所等中介机构签订上市服务协议并完成工商、税务等变更手续后，补助150万元。签订新三板挂牌服务协议并完成工商、税务等变更手续后，补助50万元。</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ascii="仿宋_GB2312" w:hAnsi="黑体" w:eastAsia="仿宋_GB2312"/>
          <w:sz w:val="32"/>
          <w:szCs w:val="32"/>
        </w:rPr>
      </w:pPr>
      <w:r>
        <w:rPr>
          <w:rFonts w:hint="eastAsia" w:ascii="楷体_GB2312" w:hAnsi="黑体" w:eastAsia="楷体_GB2312"/>
          <w:sz w:val="32"/>
          <w:szCs w:val="32"/>
        </w:rPr>
        <w:t>（三）推动企业挂牌上市进程。</w:t>
      </w:r>
      <w:r>
        <w:rPr>
          <w:rFonts w:hint="eastAsia" w:ascii="仿宋_GB2312" w:eastAsia="仿宋_GB2312"/>
          <w:sz w:val="32"/>
          <w:szCs w:val="32"/>
        </w:rPr>
        <w:t>企业在新三板创新层成功挂牌的，一次性补助200万元。</w:t>
      </w:r>
      <w:r>
        <w:rPr>
          <w:rFonts w:hint="eastAsia" w:ascii="仿宋_GB2312" w:hAnsi="黑体" w:eastAsia="仿宋_GB2312"/>
          <w:sz w:val="32"/>
          <w:szCs w:val="32"/>
        </w:rPr>
        <w:t>企业上市辅导备案后，补助300万元。企业递交境内首次公开发行（IPO）申报材料并得到中国证监会或沪深交易所受理的，补助250万元，发行审核通过的，再给予200万元补助。新三板创新层企业递交境内首次公开发行（IPO）申报材料并得到北京证券交易所受理的，补助200万元，发行审核通过的，再给予150万元补助。企业因挂牌上市、股份制改造产生的成本给予相应补助，在企业成功新三板挂牌或上市辅导备案后兑现。</w:t>
      </w:r>
      <w:r>
        <w:rPr>
          <w:rFonts w:hint="eastAsia" w:ascii="仿宋_GB2312" w:hAnsi="仿宋" w:eastAsia="仿宋_GB2312" w:cs="仿宋"/>
          <w:sz w:val="32"/>
          <w:szCs w:val="32"/>
        </w:rPr>
        <w:t>（企业可选择成本补助或分阶段一次性补助，可就高享受，但不重复享受）</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ascii="仿宋_GB2312" w:eastAsia="仿宋_GB2312"/>
          <w:sz w:val="32"/>
          <w:szCs w:val="32"/>
        </w:rPr>
      </w:pPr>
      <w:r>
        <w:rPr>
          <w:rFonts w:hint="eastAsia" w:ascii="楷体_GB2312" w:hAnsi="黑体" w:eastAsia="楷体_GB2312"/>
          <w:sz w:val="32"/>
          <w:szCs w:val="32"/>
        </w:rPr>
        <w:t>（四）鼓励企业境内外多渠道上市。</w:t>
      </w:r>
      <w:r>
        <w:rPr>
          <w:rFonts w:hint="eastAsia" w:ascii="仿宋_GB2312" w:hAnsi="仿宋" w:eastAsia="仿宋_GB2312" w:cs="仿宋"/>
          <w:sz w:val="32"/>
          <w:szCs w:val="32"/>
        </w:rPr>
        <w:t>在境内各交易所首发上市成功的，补助600万元。企业在境外证券交易所首发上市且募资达到2亿元（含）以上的，补助600万元，不足2亿元的补助300万元，境外上市企业不享受中介签约补助及股改成本补助。</w:t>
      </w:r>
      <w:r>
        <w:rPr>
          <w:rFonts w:hint="eastAsia" w:ascii="仿宋_GB2312" w:hAnsi="黑体" w:eastAsia="仿宋_GB2312"/>
          <w:sz w:val="32"/>
          <w:szCs w:val="32"/>
        </w:rPr>
        <w:t>在科创板成功上市的企业</w:t>
      </w:r>
      <w:r>
        <w:rPr>
          <w:rFonts w:hint="eastAsia" w:ascii="仿宋_GB2312" w:eastAsia="仿宋_GB2312"/>
          <w:sz w:val="32"/>
          <w:szCs w:val="32"/>
        </w:rPr>
        <w:t>，给予100万元特别补助。</w:t>
      </w:r>
      <w:r>
        <w:rPr>
          <w:rFonts w:hint="eastAsia" w:ascii="仿宋_GB2312" w:hAnsi="黑体" w:eastAsia="仿宋_GB2312"/>
          <w:sz w:val="32"/>
          <w:szCs w:val="32"/>
        </w:rPr>
        <w:t>对非因风险处置原因，区外企业注册地和纳税地迁入我区的，</w:t>
      </w:r>
      <w:r>
        <w:rPr>
          <w:rFonts w:hint="eastAsia" w:ascii="仿宋_GB2312" w:eastAsia="仿宋_GB2312"/>
          <w:sz w:val="32"/>
          <w:szCs w:val="32"/>
        </w:rPr>
        <w:t>给予境内上市公司一次性补助1500万元，</w:t>
      </w:r>
      <w:r>
        <w:rPr>
          <w:rFonts w:hint="eastAsia" w:ascii="仿宋_GB2312" w:hAnsi="黑体" w:eastAsia="仿宋_GB2312"/>
          <w:sz w:val="32"/>
          <w:szCs w:val="32"/>
        </w:rPr>
        <w:t>境外上市公司</w:t>
      </w:r>
      <w:r>
        <w:rPr>
          <w:rFonts w:hint="eastAsia" w:ascii="仿宋_GB2312" w:eastAsia="仿宋_GB2312"/>
          <w:sz w:val="32"/>
          <w:szCs w:val="32"/>
        </w:rPr>
        <w:t>一次性补助600万元</w:t>
      </w:r>
      <w:r>
        <w:rPr>
          <w:rFonts w:hint="eastAsia" w:ascii="仿宋_GB2312" w:hAnsi="黑体" w:eastAsia="仿宋_GB2312"/>
          <w:sz w:val="32"/>
          <w:szCs w:val="32"/>
        </w:rPr>
        <w:t>，</w:t>
      </w:r>
      <w:r>
        <w:rPr>
          <w:rFonts w:hint="eastAsia" w:ascii="仿宋_GB2312" w:eastAsia="仿宋_GB2312"/>
          <w:sz w:val="32"/>
          <w:szCs w:val="32"/>
        </w:rPr>
        <w:t>新三板创新层挂牌企业一次性补助250万元。区外拟上市公司注册地和纳税地迁入我区的，因其迁入退还之前享受的原注册地上市补助政策的，对应具体上市工作进度，按照我区拟上市企业标准给予补助政策。上市公司二次上市的，一次性补助50万元。在宁波股权交易中心挂牌企业的补助政策另行制定，</w:t>
      </w:r>
      <w:r>
        <w:rPr>
          <w:rFonts w:hint="eastAsia" w:ascii="仿宋_GB2312" w:hAnsi="黑体" w:eastAsia="仿宋_GB2312" w:cs="仿宋_GB2312"/>
          <w:bCs/>
          <w:sz w:val="32"/>
          <w:szCs w:val="32"/>
        </w:rPr>
        <w:t>鼓励各镇（乡）街道给予挂牌补助配套政策。</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sz w:val="32"/>
          <w:szCs w:val="32"/>
        </w:rPr>
        <w:t>四、开展上市公司引领升级行动</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textAlignment w:val="auto"/>
        <w:rPr>
          <w:rFonts w:ascii="仿宋_GB2312" w:eastAsia="仿宋_GB2312"/>
          <w:sz w:val="32"/>
          <w:szCs w:val="32"/>
        </w:rPr>
      </w:pPr>
      <w:r>
        <w:rPr>
          <w:rFonts w:hint="eastAsia" w:ascii="楷体_GB2312" w:eastAsia="楷体_GB2312"/>
          <w:sz w:val="32"/>
          <w:szCs w:val="32"/>
        </w:rPr>
        <w:t>（五）发挥上市公司产业头雁效应和创新引领效应。</w:t>
      </w:r>
      <w:r>
        <w:rPr>
          <w:rFonts w:hint="eastAsia" w:ascii="仿宋_GB2312" w:eastAsia="仿宋_GB2312"/>
          <w:sz w:val="32"/>
          <w:szCs w:val="32"/>
        </w:rPr>
        <w:t>在纺织服装、生物医药、新材料、工业互联网以及人工智能等领域，充分发挥上市公司品牌引领、产业引领以及人才科技引领等优势，开展上下游企业招引，引入高能级区域创新平台，开展以数字化赋能为代表的产业改造提升，建立区域产业品牌联盟，开展品牌共建，打造“主导产业+多个隐形冠军+大批中小微企业”的分布架构，引领产业的整体发展。支持上市公司加大研发投入，鼓励上市公司建设市级创新中心、工程研究中心，享受区级科技政策补助支持。</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textAlignment w:val="auto"/>
        <w:rPr>
          <w:rFonts w:ascii="仿宋_GB2312" w:hAnsi="黑体" w:eastAsia="仿宋_GB2312"/>
          <w:sz w:val="32"/>
          <w:szCs w:val="32"/>
          <w:u w:val="single"/>
        </w:rPr>
      </w:pPr>
      <w:r>
        <w:rPr>
          <w:rFonts w:hint="eastAsia" w:ascii="楷体_GB2312" w:hAnsi="黑体" w:eastAsia="楷体_GB2312"/>
          <w:sz w:val="32"/>
          <w:szCs w:val="32"/>
        </w:rPr>
        <w:t>（六）鼓励上市公司开展并购重组。</w:t>
      </w:r>
      <w:r>
        <w:rPr>
          <w:rFonts w:hint="eastAsia" w:ascii="仿宋_GB2312" w:hAnsi="黑体" w:eastAsia="仿宋_GB2312"/>
          <w:sz w:val="32"/>
          <w:szCs w:val="32"/>
        </w:rPr>
        <w:t>鼓励上市公司立足主业，结合我区产业发展重点，开展横向、纵向产业链的境内外并购重组。加强对上市公司“走出去”风险提示，防范对外盲目投资和开展脱离主业的境外资产收购风险。优化并购重组项目落地服务，协调解决立项、用地、环评等问题。鼓励各类金融机构积极稳妥开展并购贷款、银团贷款业务，政府产业基金优先支持上市公司符合产业转型升级方向的并购重组。上市公司实施并购重组的，达到一定条件的，给予一定额度补助，已享受市级政策补助的不再重复享受。</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textAlignment w:val="auto"/>
        <w:rPr>
          <w:rFonts w:ascii="仿宋_GB2312" w:hAnsi="黑体" w:eastAsia="仿宋_GB2312"/>
          <w:sz w:val="32"/>
          <w:szCs w:val="32"/>
        </w:rPr>
      </w:pPr>
      <w:r>
        <w:rPr>
          <w:rFonts w:hint="eastAsia" w:ascii="楷体_GB2312" w:hAnsi="黑体" w:eastAsia="楷体_GB2312"/>
          <w:sz w:val="32"/>
          <w:szCs w:val="32"/>
        </w:rPr>
        <w:t>（七）推动上市公司开展再融资。</w:t>
      </w:r>
      <w:r>
        <w:rPr>
          <w:rFonts w:hint="eastAsia" w:ascii="仿宋_GB2312" w:hAnsi="黑体" w:eastAsia="仿宋_GB2312"/>
          <w:sz w:val="32"/>
          <w:szCs w:val="32"/>
        </w:rPr>
        <w:t>支持上市公司抢抓再融资注册制及小额快速融资机制契机，通过配股、增发、优先股、可转债、公司债、资产证券化（ABS）等市场化方式，将各类资金精准高效转化为资本，提高要素质量和配置效率。按再融资募集资金投资在我区内的实际投资额（含补充流动资金，不含房地产投资）的3‰给予一次性补助，单家企业年度最高补助100万元。区外上市公司再融资募投项目落在我区，且对地方就业、产业提升等做出贡献的，可参照本区上市公司享受政策。</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楷体_GB2312" w:hAnsi="黑体" w:eastAsia="楷体_GB2312"/>
          <w:sz w:val="32"/>
          <w:szCs w:val="32"/>
        </w:rPr>
        <w:t>（八）提高资本市场风险防控处置水平。</w:t>
      </w:r>
      <w:r>
        <w:rPr>
          <w:rFonts w:hint="eastAsia" w:ascii="仿宋_GB2312" w:hAnsi="黑体" w:eastAsia="仿宋_GB2312"/>
          <w:sz w:val="32"/>
          <w:szCs w:val="32"/>
        </w:rPr>
        <w:t>强化上市公司主体责任，引导上市公司不断完善公司治理制度，严格执行内部控制制度，提高信息披露质量，引领全区企业提升现代化管理能力。</w:t>
      </w:r>
      <w:r>
        <w:rPr>
          <w:rFonts w:hint="eastAsia" w:ascii="仿宋_GB2312" w:hAnsi="仿宋_GB2312" w:eastAsia="仿宋_GB2312" w:cs="仿宋_GB2312"/>
          <w:sz w:val="32"/>
          <w:szCs w:val="32"/>
          <w:lang w:val="zh-CN"/>
        </w:rPr>
        <w:t>建立辖内上市公司日常监测机制，及时发现上市公司潜在风险，督促高质押比例上市公司大股东积极实施“瘦身计划”，合理降低质押率。落实属地责任，运用各种手段及时</w:t>
      </w:r>
      <w:r>
        <w:rPr>
          <w:rFonts w:ascii="仿宋_GB2312" w:hAnsi="仿宋_GB2312" w:eastAsia="仿宋_GB2312" w:cs="仿宋_GB2312"/>
          <w:sz w:val="32"/>
          <w:szCs w:val="32"/>
          <w:lang w:val="zh-CN"/>
        </w:rPr>
        <w:t>化解</w:t>
      </w:r>
      <w:r>
        <w:rPr>
          <w:rFonts w:hint="eastAsia" w:ascii="仿宋_GB2312" w:hAnsi="仿宋_GB2312" w:eastAsia="仿宋_GB2312" w:cs="仿宋_GB2312"/>
          <w:sz w:val="32"/>
          <w:szCs w:val="32"/>
          <w:lang w:val="zh-CN"/>
        </w:rPr>
        <w:t>企业</w:t>
      </w:r>
      <w:r>
        <w:rPr>
          <w:rFonts w:ascii="仿宋_GB2312" w:hAnsi="仿宋_GB2312" w:eastAsia="仿宋_GB2312" w:cs="仿宋_GB2312"/>
          <w:sz w:val="32"/>
          <w:szCs w:val="32"/>
          <w:lang w:val="zh-CN"/>
        </w:rPr>
        <w:t>风险</w:t>
      </w:r>
      <w:r>
        <w:rPr>
          <w:rFonts w:hint="eastAsia" w:ascii="仿宋_GB2312" w:hAnsi="仿宋_GB2312" w:eastAsia="仿宋_GB2312" w:cs="仿宋_GB2312"/>
          <w:sz w:val="32"/>
          <w:szCs w:val="32"/>
          <w:lang w:val="zh-CN"/>
        </w:rPr>
        <w:t>，保证上市公司主体稳定运营。</w:t>
      </w:r>
      <w:r>
        <w:rPr>
          <w:rFonts w:hint="eastAsia" w:ascii="仿宋_GB2312" w:hAnsi="仿宋_GB2312" w:eastAsia="仿宋_GB2312" w:cs="仿宋_GB2312"/>
          <w:sz w:val="32"/>
          <w:szCs w:val="32"/>
        </w:rPr>
        <w:t>全力推动高风险上市公司重组工作，支持区内优质资产通过重组方式进入上市公司，盘活存量资源。建立完善退市风险联合防控工作机制，保障上市公司平稳退市。</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textAlignment w:val="auto"/>
        <w:rPr>
          <w:rFonts w:ascii="黑体" w:hAnsi="黑体" w:eastAsia="黑体" w:cs="仿宋_GB2312"/>
          <w:sz w:val="32"/>
          <w:szCs w:val="32"/>
        </w:rPr>
      </w:pPr>
      <w:r>
        <w:rPr>
          <w:rFonts w:hint="eastAsia" w:ascii="黑体" w:hAnsi="黑体" w:eastAsia="黑体" w:cs="仿宋_GB2312"/>
          <w:sz w:val="32"/>
          <w:szCs w:val="32"/>
        </w:rPr>
        <w:t>五、开展资本市场氛围营造行动</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ascii="仿宋_GB2312" w:hAnsi="黑体" w:eastAsia="仿宋_GB2312"/>
          <w:sz w:val="32"/>
          <w:szCs w:val="32"/>
        </w:rPr>
      </w:pPr>
      <w:r>
        <w:rPr>
          <w:rFonts w:hint="eastAsia" w:ascii="楷体_GB2312" w:hAnsi="仿宋_GB2312" w:eastAsia="楷体_GB2312" w:cs="仿宋_GB2312"/>
          <w:sz w:val="32"/>
          <w:szCs w:val="32"/>
        </w:rPr>
        <w:t>（九）大力发展股权投资基金。</w:t>
      </w:r>
      <w:r>
        <w:rPr>
          <w:rFonts w:hint="eastAsia" w:ascii="仿宋_GB2312" w:hAnsi="仿宋_GB2312" w:eastAsia="仿宋_GB2312" w:cs="仿宋_GB2312"/>
          <w:sz w:val="32"/>
          <w:szCs w:val="32"/>
        </w:rPr>
        <w:t>加强股权投资基金行业头部机构招引，吸引央企国企、国内外知名金融机构以及投行机构在我区设立股权投资基金。鼓励上市公司、拟上市企业以及本土实力雄厚的集团公司在我区设立股权投资基金，培育一批具有全国知名度和影响力的基金管理机构。打造股权投资机构和优质企业对接平台，通过开展项目路演、创业创新大赛、定向推介会等形式，为股权投资机构连接产业资源。鼓励股权投资基金投资我区重点产业、重点企业，充分发挥私募基金在招商引资、招才引智、产业升级中的作用，为我区构建高质量发展格局奠定良好投资基础。设立政府产业投资基金，提升市场化运作水平，放宽出资规模和返投比例等方面限制要求，撬动各类社会资本投资和引进符合我区产业发展导向的企业。</w:t>
      </w:r>
      <w:r>
        <w:rPr>
          <w:rFonts w:hint="eastAsia" w:ascii="仿宋_GB2312" w:hAnsi="黑体" w:eastAsia="仿宋_GB2312"/>
          <w:sz w:val="32"/>
          <w:szCs w:val="32"/>
        </w:rPr>
        <w:t>研究出台专项政策支持股权投资行业发展。加强私募股权投资基金监管，完善会商工作机制，引导基金规范发展，切实防范私募基金领域非法集资风险。</w:t>
      </w:r>
    </w:p>
    <w:p>
      <w:pPr>
        <w:keepNext w:val="0"/>
        <w:keepLines w:val="0"/>
        <w:pageBreakBefore w:val="0"/>
        <w:widowControl w:val="0"/>
        <w:kinsoku/>
        <w:wordWrap/>
        <w:overflowPunct/>
        <w:topLinePunct w:val="0"/>
        <w:autoSpaceDE/>
        <w:autoSpaceDN w:val="0"/>
        <w:bidi w:val="0"/>
        <w:adjustRightInd/>
        <w:snapToGrid/>
        <w:spacing w:line="600" w:lineRule="exact"/>
        <w:ind w:firstLine="627" w:firstLineChars="196"/>
        <w:textAlignment w:val="auto"/>
        <w:rPr>
          <w:rFonts w:ascii="仿宋_GB2312" w:hAnsi="仿宋" w:eastAsia="仿宋_GB2312" w:cs="仿宋"/>
          <w:color w:val="000000"/>
          <w:sz w:val="32"/>
          <w:szCs w:val="32"/>
          <w:u w:val="single"/>
        </w:rPr>
      </w:pPr>
      <w:r>
        <w:rPr>
          <w:rFonts w:hint="eastAsia" w:ascii="楷体_GB2312" w:hAnsi="黑体" w:eastAsia="楷体_GB2312"/>
          <w:sz w:val="32"/>
          <w:szCs w:val="32"/>
        </w:rPr>
        <w:t>（十）</w:t>
      </w:r>
      <w:r>
        <w:rPr>
          <w:rFonts w:hint="eastAsia" w:ascii="楷体_GB2312" w:hAnsi="楷体" w:eastAsia="楷体_GB2312"/>
          <w:sz w:val="32"/>
          <w:szCs w:val="32"/>
        </w:rPr>
        <w:t>提升资本市场活动质量。</w:t>
      </w:r>
      <w:r>
        <w:rPr>
          <w:rFonts w:hint="eastAsia" w:ascii="仿宋_GB2312" w:hAnsi="Calibri" w:eastAsia="仿宋_GB2312"/>
          <w:sz w:val="32"/>
          <w:szCs w:val="32"/>
        </w:rPr>
        <w:t>加强与上交所、深交所</w:t>
      </w:r>
      <w:r>
        <w:rPr>
          <w:rFonts w:hint="eastAsia" w:ascii="仿宋_GB2312" w:hAnsi="仿宋" w:eastAsia="仿宋_GB2312"/>
          <w:sz w:val="32"/>
          <w:szCs w:val="32"/>
        </w:rPr>
        <w:t>、北交所、股转公司、甬</w:t>
      </w:r>
      <w:r>
        <w:rPr>
          <w:rFonts w:hint="eastAsia" w:ascii="仿宋_GB2312" w:hAnsi="Calibri" w:eastAsia="仿宋_GB2312"/>
          <w:sz w:val="32"/>
          <w:szCs w:val="32"/>
        </w:rPr>
        <w:t>股交、各类</w:t>
      </w:r>
      <w:r>
        <w:rPr>
          <w:rFonts w:hint="eastAsia" w:ascii="仿宋_GB2312" w:eastAsia="仿宋_GB2312"/>
          <w:sz w:val="32"/>
          <w:szCs w:val="32"/>
        </w:rPr>
        <w:t>金融机构、</w:t>
      </w:r>
      <w:r>
        <w:rPr>
          <w:rFonts w:hint="eastAsia" w:ascii="仿宋_GB2312" w:hAnsi="Calibri" w:eastAsia="仿宋_GB2312"/>
          <w:sz w:val="32"/>
          <w:szCs w:val="32"/>
        </w:rPr>
        <w:t>中介机构以及知名投资机构等的合作，</w:t>
      </w:r>
      <w:r>
        <w:rPr>
          <w:rFonts w:hint="eastAsia" w:ascii="仿宋_GB2312" w:eastAsia="仿宋_GB2312"/>
          <w:sz w:val="32"/>
          <w:szCs w:val="32"/>
        </w:rPr>
        <w:t>通过政策宣讲、主题沙龙、座谈会、专家授课等多种形式，</w:t>
      </w:r>
      <w:r>
        <w:rPr>
          <w:rFonts w:hint="eastAsia" w:ascii="仿宋_GB2312" w:hAnsi="黑体" w:eastAsia="仿宋_GB2312"/>
          <w:sz w:val="32"/>
          <w:szCs w:val="32"/>
        </w:rPr>
        <w:t>围绕企业上市、上市公司再融资、并购重组等内容开展</w:t>
      </w:r>
      <w:r>
        <w:rPr>
          <w:rFonts w:hint="eastAsia" w:ascii="仿宋_GB2312" w:hAnsi="仿宋" w:eastAsia="仿宋_GB2312"/>
          <w:sz w:val="32"/>
          <w:szCs w:val="32"/>
        </w:rPr>
        <w:t>组织</w:t>
      </w:r>
      <w:r>
        <w:rPr>
          <w:rFonts w:hint="eastAsia" w:ascii="仿宋_GB2312" w:eastAsia="仿宋_GB2312"/>
          <w:sz w:val="32"/>
          <w:szCs w:val="32"/>
        </w:rPr>
        <w:t>开展立体式培训交流</w:t>
      </w:r>
      <w:r>
        <w:rPr>
          <w:rFonts w:hint="eastAsia" w:ascii="仿宋_GB2312" w:hAnsi="仿宋" w:eastAsia="仿宋_GB2312"/>
          <w:sz w:val="32"/>
          <w:szCs w:val="32"/>
        </w:rPr>
        <w:t>活动，</w:t>
      </w:r>
      <w:r>
        <w:rPr>
          <w:rFonts w:hint="eastAsia" w:ascii="仿宋_GB2312" w:hAnsi="仿宋_GB2312" w:eastAsia="仿宋_GB2312" w:cs="仿宋_GB2312"/>
          <w:sz w:val="32"/>
          <w:szCs w:val="32"/>
          <w:lang w:val="zh-CN"/>
        </w:rPr>
        <w:t>创新活动形式，</w:t>
      </w:r>
      <w:r>
        <w:rPr>
          <w:rFonts w:hint="eastAsia" w:ascii="仿宋_GB2312" w:hAnsi="黑体" w:eastAsia="仿宋_GB2312"/>
          <w:sz w:val="32"/>
          <w:szCs w:val="32"/>
        </w:rPr>
        <w:t>激发企业内生动力。</w:t>
      </w:r>
      <w:r>
        <w:rPr>
          <w:rFonts w:hint="eastAsia" w:ascii="仿宋_GB2312" w:hAnsi="仿宋_GB2312" w:eastAsia="仿宋_GB2312" w:cs="仿宋_GB2312"/>
          <w:sz w:val="32"/>
          <w:szCs w:val="32"/>
          <w:lang w:val="zh-CN"/>
        </w:rPr>
        <w:t>加强对上市企业和拟上市企业董事长、董秘群体的关注，深入挖掘企业需求，实现精准对接，</w:t>
      </w:r>
      <w:r>
        <w:rPr>
          <w:rFonts w:hint="eastAsia" w:ascii="仿宋_GB2312" w:hAnsi="黑体" w:eastAsia="仿宋_GB2312"/>
          <w:sz w:val="32"/>
          <w:szCs w:val="32"/>
        </w:rPr>
        <w:t>提升活动质量和效果，</w:t>
      </w:r>
      <w:r>
        <w:rPr>
          <w:rFonts w:hint="eastAsia" w:ascii="仿宋_GB2312" w:hAnsi="仿宋" w:eastAsia="仿宋_GB2312"/>
          <w:color w:val="000000"/>
          <w:sz w:val="32"/>
          <w:szCs w:val="32"/>
        </w:rPr>
        <w:t>努力营造有利于我区资本市场发展的氛围。</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textAlignment w:val="auto"/>
        <w:rPr>
          <w:rFonts w:ascii="黑体" w:hAnsi="黑体" w:eastAsia="黑体" w:cs="仿宋"/>
          <w:color w:val="000000"/>
          <w:sz w:val="32"/>
          <w:szCs w:val="32"/>
        </w:rPr>
      </w:pPr>
      <w:r>
        <w:rPr>
          <w:rFonts w:hint="eastAsia" w:ascii="黑体" w:hAnsi="黑体" w:eastAsia="黑体" w:cs="仿宋"/>
          <w:color w:val="000000"/>
          <w:sz w:val="32"/>
          <w:szCs w:val="32"/>
        </w:rPr>
        <w:t>六、保障措施</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textAlignment w:val="auto"/>
        <w:rPr>
          <w:rFonts w:ascii="仿宋_GB2312" w:hAnsi="仿宋" w:eastAsia="仿宋_GB2312" w:cs="仿宋"/>
          <w:color w:val="000000"/>
          <w:sz w:val="32"/>
          <w:szCs w:val="32"/>
        </w:rPr>
      </w:pPr>
      <w:r>
        <w:rPr>
          <w:rFonts w:hint="eastAsia" w:ascii="楷体_GB2312" w:hAnsi="仿宋" w:eastAsia="楷体_GB2312" w:cs="仿宋"/>
          <w:color w:val="000000"/>
          <w:sz w:val="32"/>
          <w:szCs w:val="32"/>
        </w:rPr>
        <w:t>（十一）</w:t>
      </w:r>
      <w:r>
        <w:rPr>
          <w:rFonts w:hint="eastAsia" w:ascii="楷体_GB2312" w:hAnsi="仿宋" w:eastAsia="楷体_GB2312"/>
          <w:sz w:val="32"/>
          <w:szCs w:val="32"/>
        </w:rPr>
        <w:t>加强工作推进合力。</w:t>
      </w:r>
      <w:r>
        <w:rPr>
          <w:rFonts w:hint="eastAsia" w:ascii="仿宋_GB2312" w:hAnsi="黑体" w:eastAsia="仿宋_GB2312"/>
          <w:sz w:val="32"/>
          <w:szCs w:val="32"/>
        </w:rPr>
        <w:t>进一步发挥区资本市场工作领导小组作用，</w:t>
      </w:r>
      <w:r>
        <w:rPr>
          <w:rFonts w:hint="eastAsia" w:ascii="仿宋_GB2312" w:hAnsi="仿宋" w:eastAsia="仿宋_GB2312" w:cs="仿宋"/>
          <w:color w:val="000000"/>
          <w:sz w:val="32"/>
          <w:szCs w:val="32"/>
        </w:rPr>
        <w:t>建立企业上市工作合力推进机制，充分发挥各职能部门积极性，不定期组织召开上市工作推进会议，加大区级层面统筹协调力度，针对企业改制、挂牌、上市和上市后发展所涉及的重点问题和共性问题开展协调服务，</w:t>
      </w:r>
      <w:r>
        <w:rPr>
          <w:rFonts w:hint="eastAsia" w:ascii="仿宋_GB2312" w:eastAsia="仿宋_GB2312"/>
          <w:sz w:val="32"/>
          <w:szCs w:val="32"/>
        </w:rPr>
        <w:t>破解上市过程中的难点、痛点、堵点</w:t>
      </w:r>
      <w:r>
        <w:rPr>
          <w:rFonts w:hint="eastAsia" w:ascii="仿宋_GB2312" w:hAnsi="仿宋" w:eastAsia="仿宋_GB2312" w:cs="仿宋"/>
          <w:color w:val="000000"/>
          <w:sz w:val="32"/>
          <w:szCs w:val="32"/>
        </w:rPr>
        <w:t>，全面推进落实“凤凰行动”计划。</w:t>
      </w:r>
    </w:p>
    <w:p>
      <w:pPr>
        <w:keepNext w:val="0"/>
        <w:keepLines w:val="0"/>
        <w:pageBreakBefore w:val="0"/>
        <w:widowControl w:val="0"/>
        <w:kinsoku/>
        <w:wordWrap/>
        <w:overflowPunct/>
        <w:topLinePunct w:val="0"/>
        <w:autoSpaceDE/>
        <w:bidi w:val="0"/>
        <w:adjustRightInd/>
        <w:snapToGrid/>
        <w:spacing w:line="600" w:lineRule="exact"/>
        <w:ind w:firstLine="640" w:firstLineChars="200"/>
        <w:contextualSpacing/>
        <w:textAlignment w:val="auto"/>
        <w:rPr>
          <w:rFonts w:ascii="仿宋_GB2312" w:eastAsia="仿宋_GB2312"/>
          <w:snapToGrid w:val="0"/>
          <w:kern w:val="0"/>
          <w:sz w:val="32"/>
          <w:szCs w:val="32"/>
        </w:rPr>
      </w:pPr>
      <w:r>
        <w:rPr>
          <w:rFonts w:hint="eastAsia" w:ascii="楷体_GB2312" w:hAnsi="仿宋" w:eastAsia="楷体_GB2312" w:cs="仿宋"/>
          <w:color w:val="000000"/>
          <w:sz w:val="32"/>
          <w:szCs w:val="32"/>
        </w:rPr>
        <w:t>（十二）加大资源要素倾斜。</w:t>
      </w:r>
      <w:r>
        <w:rPr>
          <w:rFonts w:hint="eastAsia" w:ascii="仿宋_GB2312" w:hAnsi="仿宋" w:eastAsia="仿宋_GB2312" w:cs="仿宋"/>
          <w:color w:val="000000"/>
          <w:sz w:val="32"/>
          <w:szCs w:val="32"/>
        </w:rPr>
        <w:t>加大对上市和上市后备企业</w:t>
      </w:r>
      <w:r>
        <w:rPr>
          <w:rFonts w:hint="eastAsia" w:ascii="仿宋_GB2312" w:hAnsi="仿宋_GB2312" w:eastAsia="仿宋_GB2312" w:cs="仿宋_GB2312"/>
          <w:sz w:val="32"/>
          <w:szCs w:val="32"/>
        </w:rPr>
        <w:t>土地、电力、科技、资金、人才、项目等方面的</w:t>
      </w:r>
      <w:r>
        <w:rPr>
          <w:rFonts w:ascii="仿宋_GB2312" w:hAnsi="仿宋" w:eastAsia="仿宋_GB2312" w:cs="仿宋"/>
          <w:color w:val="000000"/>
          <w:sz w:val="32"/>
          <w:szCs w:val="32"/>
        </w:rPr>
        <w:t>要素资源供给</w:t>
      </w:r>
      <w:r>
        <w:rPr>
          <w:rFonts w:hint="eastAsia" w:ascii="仿宋_GB2312" w:hAnsi="仿宋" w:eastAsia="仿宋_GB2312" w:cs="仿宋"/>
          <w:color w:val="000000"/>
          <w:sz w:val="32"/>
          <w:szCs w:val="32"/>
        </w:rPr>
        <w:t>。上市和上市后备企业投资新建符合我区产业导向的项目，对企业提出的产业项目用地需求，在综合评估后给予必要支持。设</w:t>
      </w:r>
      <w:r>
        <w:rPr>
          <w:rFonts w:hint="eastAsia" w:ascii="仿宋_GB2312" w:hAnsi="仿宋_GB2312" w:eastAsia="仿宋_GB2312" w:cs="仿宋_GB2312"/>
          <w:sz w:val="32"/>
          <w:szCs w:val="32"/>
        </w:rPr>
        <w:t>立海曙区股权投资基金，国有资本通过对拟上市</w:t>
      </w:r>
      <w:r>
        <w:rPr>
          <w:rFonts w:hint="eastAsia" w:ascii="仿宋_GB2312" w:eastAsia="仿宋_GB2312"/>
          <w:snapToGrid w:val="0"/>
          <w:kern w:val="0"/>
          <w:sz w:val="32"/>
          <w:szCs w:val="32"/>
        </w:rPr>
        <w:t>企业股权投资和参与上市公司定增等方式，加大对企业的资金支持力度，助力潜力优质企业加快迈入资本市场</w:t>
      </w:r>
      <w:r>
        <w:rPr>
          <w:rFonts w:ascii="仿宋_GB2312" w:eastAsia="仿宋_GB2312"/>
          <w:snapToGrid w:val="0"/>
          <w:kern w:val="0"/>
          <w:sz w:val="32"/>
          <w:szCs w:val="32"/>
        </w:rPr>
        <w:t>。</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ascii="仿宋_GB2312" w:hAnsi="仿宋" w:eastAsia="仿宋_GB2312" w:cs="仿宋"/>
          <w:color w:val="000000"/>
          <w:sz w:val="32"/>
          <w:szCs w:val="32"/>
        </w:rPr>
      </w:pPr>
      <w:r>
        <w:rPr>
          <w:rFonts w:hint="eastAsia" w:ascii="楷体_GB2312" w:hAnsi="仿宋" w:eastAsia="楷体_GB2312" w:cs="仿宋"/>
          <w:color w:val="000000"/>
          <w:sz w:val="32"/>
          <w:szCs w:val="32"/>
        </w:rPr>
        <w:t>（十三）加强督查考核。</w:t>
      </w:r>
      <w:r>
        <w:rPr>
          <w:rFonts w:hint="eastAsia" w:ascii="仿宋_GB2312" w:hAnsi="仿宋" w:eastAsia="仿宋_GB2312" w:cs="仿宋"/>
          <w:color w:val="000000"/>
          <w:sz w:val="32"/>
          <w:szCs w:val="32"/>
        </w:rPr>
        <w:t>进一步发挥资本市场工作</w:t>
      </w:r>
      <w:r>
        <w:rPr>
          <w:rFonts w:hint="eastAsia" w:ascii="仿宋_GB2312" w:hAnsi="仿宋" w:eastAsia="仿宋_GB2312" w:cs="仿宋"/>
          <w:color w:val="000000"/>
          <w:sz w:val="32"/>
          <w:szCs w:val="32"/>
          <w:lang w:val="en-US" w:eastAsia="zh-CN"/>
        </w:rPr>
        <w:t>绩效</w:t>
      </w:r>
      <w:r>
        <w:rPr>
          <w:rFonts w:hint="eastAsia" w:ascii="仿宋_GB2312" w:hAnsi="仿宋" w:eastAsia="仿宋_GB2312" w:cs="仿宋"/>
          <w:color w:val="000000"/>
          <w:sz w:val="32"/>
          <w:szCs w:val="32"/>
        </w:rPr>
        <w:t>考核导向</w:t>
      </w:r>
      <w:r>
        <w:rPr>
          <w:rFonts w:hint="eastAsia" w:ascii="仿宋_GB2312" w:hAnsi="仿宋" w:eastAsia="仿宋_GB2312" w:cs="仿宋"/>
          <w:color w:val="000000"/>
          <w:sz w:val="32"/>
          <w:szCs w:val="32"/>
          <w:lang w:val="en-US" w:eastAsia="zh-CN"/>
        </w:rPr>
        <w:t>作用</w:t>
      </w:r>
      <w:r>
        <w:rPr>
          <w:rFonts w:hint="eastAsia" w:ascii="仿宋_GB2312" w:hAnsi="仿宋" w:eastAsia="仿宋_GB2312" w:cs="仿宋"/>
          <w:color w:val="000000"/>
          <w:sz w:val="32"/>
          <w:szCs w:val="32"/>
        </w:rPr>
        <w:t>，充分调动各镇（乡）街道、园区积极性，发挥资本市场联络员作用，筛选排摸上市后备企业，积极做好后备企业的协调服务和上下衔接等工作。区政府督查室</w:t>
      </w:r>
      <w:r>
        <w:rPr>
          <w:rFonts w:ascii="仿宋_GB2312" w:hAnsi="仿宋" w:eastAsia="仿宋_GB2312" w:cs="仿宋"/>
          <w:color w:val="000000"/>
          <w:sz w:val="32"/>
          <w:szCs w:val="32"/>
        </w:rPr>
        <w:t>围绕目标和任务做好工作督查，</w:t>
      </w:r>
      <w:r>
        <w:rPr>
          <w:rFonts w:hint="eastAsia" w:ascii="仿宋_GB2312" w:hAnsi="仿宋" w:eastAsia="仿宋_GB2312" w:cs="仿宋"/>
          <w:color w:val="000000"/>
          <w:sz w:val="32"/>
          <w:szCs w:val="32"/>
        </w:rPr>
        <w:t>对企业困难问题的协调落实情况进行跟踪督办</w:t>
      </w:r>
      <w:r>
        <w:rPr>
          <w:rFonts w:ascii="仿宋_GB2312" w:hAnsi="仿宋" w:eastAsia="仿宋_GB2312" w:cs="仿宋"/>
          <w:color w:val="000000"/>
          <w:sz w:val="32"/>
          <w:szCs w:val="32"/>
        </w:rPr>
        <w:t>，推动企业上市工作有效开展。</w:t>
      </w:r>
    </w:p>
    <w:p>
      <w:pPr>
        <w:keepNext w:val="0"/>
        <w:keepLines w:val="0"/>
        <w:pageBreakBefore w:val="0"/>
        <w:widowControl w:val="0"/>
        <w:kinsoku/>
        <w:wordWrap/>
        <w:overflowPunct/>
        <w:topLinePunct w:val="0"/>
        <w:autoSpaceDE/>
        <w:bidi w:val="0"/>
        <w:adjustRightInd/>
        <w:snapToGrid/>
        <w:spacing w:line="600" w:lineRule="exact"/>
        <w:ind w:firstLine="630"/>
        <w:textAlignment w:val="auto"/>
        <w:rPr>
          <w:rFonts w:ascii="黑体" w:hAnsi="黑体" w:eastAsia="黑体"/>
          <w:sz w:val="32"/>
          <w:szCs w:val="32"/>
        </w:rPr>
      </w:pPr>
      <w:r>
        <w:rPr>
          <w:rFonts w:hint="eastAsia" w:ascii="黑体" w:hAnsi="黑体" w:eastAsia="黑体"/>
          <w:sz w:val="32"/>
          <w:szCs w:val="32"/>
        </w:rPr>
        <w:t>七、附则</w:t>
      </w:r>
    </w:p>
    <w:p>
      <w:pPr>
        <w:keepNext w:val="0"/>
        <w:keepLines w:val="0"/>
        <w:pageBreakBefore w:val="0"/>
        <w:widowControl w:val="0"/>
        <w:kinsoku/>
        <w:wordWrap/>
        <w:overflowPunct/>
        <w:topLinePunct w:val="0"/>
        <w:autoSpaceDE/>
        <w:bidi w:val="0"/>
        <w:adjustRightInd/>
        <w:snapToGrid/>
        <w:spacing w:line="600" w:lineRule="exact"/>
        <w:ind w:firstLine="630"/>
        <w:textAlignment w:val="auto"/>
        <w:rPr>
          <w:rFonts w:ascii="仿宋_GB2312" w:hAnsi="仿宋" w:eastAsia="仿宋_GB2312" w:cs="仿宋"/>
          <w:color w:val="000000"/>
          <w:sz w:val="32"/>
          <w:szCs w:val="32"/>
        </w:rPr>
      </w:pPr>
      <w:r>
        <w:rPr>
          <w:rFonts w:hint="eastAsia" w:ascii="仿宋_GB2312" w:hAnsi="黑体" w:eastAsia="仿宋_GB2312"/>
          <w:sz w:val="32"/>
          <w:szCs w:val="32"/>
        </w:rPr>
        <w:t>本意见具体操作细则由区金融发展服务中心会同区财政局</w:t>
      </w:r>
      <w:r>
        <w:rPr>
          <w:rFonts w:hint="eastAsia" w:ascii="仿宋_GB2312" w:hAnsi="仿宋" w:eastAsia="仿宋_GB2312" w:cs="仿宋"/>
          <w:color w:val="000000"/>
          <w:sz w:val="32"/>
          <w:szCs w:val="32"/>
        </w:rPr>
        <w:t>另行制定，相关政府补助政策如与其他区级政策重叠或补助情形重复的，企业不重复享受。企业在挂牌上市过程中转板的，实行差额补助，不重复享受补助政策。</w:t>
      </w:r>
    </w:p>
    <w:p>
      <w:pPr>
        <w:pStyle w:val="4"/>
        <w:keepNext w:val="0"/>
        <w:keepLines w:val="0"/>
        <w:pageBreakBefore w:val="0"/>
        <w:widowControl w:val="0"/>
        <w:kinsoku/>
        <w:wordWrap/>
        <w:overflowPunct/>
        <w:topLinePunct w:val="0"/>
        <w:autoSpaceDE/>
        <w:bidi w:val="0"/>
        <w:adjustRightInd/>
        <w:snapToGrid/>
        <w:spacing w:before="0" w:beforeAutospacing="0" w:after="0" w:afterAutospacing="0" w:line="600" w:lineRule="exact"/>
        <w:ind w:firstLine="640" w:firstLineChars="200"/>
        <w:jc w:val="both"/>
        <w:textAlignment w:val="auto"/>
        <w:rPr>
          <w:rFonts w:ascii="方正小标宋简体" w:eastAsia="方正小标宋简体"/>
          <w:sz w:val="44"/>
          <w:szCs w:val="44"/>
        </w:rPr>
      </w:pPr>
      <w:r>
        <w:rPr>
          <w:rFonts w:hint="eastAsia" w:ascii="仿宋_GB2312" w:hAnsi="黑体" w:eastAsia="仿宋_GB2312"/>
          <w:sz w:val="32"/>
          <w:szCs w:val="32"/>
        </w:rPr>
        <w:t>本意见自2021年1月1日起施行，有效期</w:t>
      </w:r>
      <w:r>
        <w:rPr>
          <w:rFonts w:hint="eastAsia" w:ascii="仿宋_GB2312" w:hAnsi="黑体" w:eastAsia="仿宋_GB2312"/>
          <w:sz w:val="32"/>
          <w:szCs w:val="32"/>
          <w:lang w:val="en-US" w:eastAsia="zh-CN"/>
        </w:rPr>
        <w:t>5</w:t>
      </w:r>
      <w:r>
        <w:rPr>
          <w:rFonts w:hint="eastAsia" w:ascii="仿宋_GB2312" w:hAnsi="黑体" w:eastAsia="仿宋_GB2312"/>
          <w:sz w:val="32"/>
          <w:szCs w:val="32"/>
        </w:rPr>
        <w:t>年。</w:t>
      </w:r>
    </w:p>
    <w:p>
      <w:pPr>
        <w:keepNext w:val="0"/>
        <w:keepLines w:val="0"/>
        <w:pageBreakBefore w:val="0"/>
        <w:widowControl w:val="0"/>
        <w:kinsoku/>
        <w:wordWrap/>
        <w:overflowPunct/>
        <w:topLinePunct w:val="0"/>
        <w:autoSpaceDE/>
        <w:bidi w:val="0"/>
        <w:adjustRightInd/>
        <w:snapToGrid/>
        <w:spacing w:line="600" w:lineRule="exact"/>
        <w:textAlignment w:val="auto"/>
      </w:pPr>
    </w:p>
    <w:p>
      <w:pPr>
        <w:pStyle w:val="4"/>
        <w:keepNext w:val="0"/>
        <w:keepLines w:val="0"/>
        <w:pageBreakBefore w:val="0"/>
        <w:widowControl w:val="0"/>
        <w:kinsoku/>
        <w:wordWrap/>
        <w:overflowPunct/>
        <w:topLinePunct w:val="0"/>
        <w:autoSpaceDE/>
        <w:bidi w:val="0"/>
        <w:adjustRightInd/>
        <w:snapToGrid/>
        <w:spacing w:before="0" w:beforeAutospacing="0" w:after="0" w:afterAutospacing="0" w:line="600" w:lineRule="exact"/>
        <w:jc w:val="both"/>
        <w:textAlignment w:val="auto"/>
        <w:rPr>
          <w:rFonts w:ascii="方正小标宋简体" w:eastAsia="方正小标宋简体"/>
          <w:sz w:val="44"/>
          <w:szCs w:val="44"/>
        </w:rPr>
      </w:pPr>
    </w:p>
    <w:p>
      <w:pPr>
        <w:pStyle w:val="4"/>
        <w:keepNext w:val="0"/>
        <w:keepLines w:val="0"/>
        <w:pageBreakBefore w:val="0"/>
        <w:widowControl w:val="0"/>
        <w:kinsoku/>
        <w:wordWrap/>
        <w:overflowPunct/>
        <w:topLinePunct w:val="0"/>
        <w:autoSpaceDE/>
        <w:bidi w:val="0"/>
        <w:adjustRightInd/>
        <w:snapToGrid/>
        <w:spacing w:before="0" w:beforeAutospacing="0" w:after="0" w:afterAutospacing="0" w:line="600" w:lineRule="exact"/>
        <w:jc w:val="both"/>
        <w:textAlignment w:val="auto"/>
        <w:rPr>
          <w:rFonts w:ascii="方正小标宋简体" w:eastAsia="方正小标宋简体"/>
          <w:sz w:val="44"/>
          <w:szCs w:val="44"/>
        </w:rPr>
      </w:pPr>
    </w:p>
    <w:sectPr>
      <w:footerReference r:id="rId3" w:type="default"/>
      <w:pgSz w:w="11906" w:h="16838"/>
      <w:pgMar w:top="1984" w:right="1417" w:bottom="1984"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创艺简标宋">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3</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4D5A7EE4"/>
    <w:rsid w:val="00016B89"/>
    <w:rsid w:val="000633ED"/>
    <w:rsid w:val="00064D85"/>
    <w:rsid w:val="00073090"/>
    <w:rsid w:val="00083F0B"/>
    <w:rsid w:val="000A35BF"/>
    <w:rsid w:val="00125200"/>
    <w:rsid w:val="001A3B86"/>
    <w:rsid w:val="001D406F"/>
    <w:rsid w:val="00210FAC"/>
    <w:rsid w:val="002A6DB4"/>
    <w:rsid w:val="003045E9"/>
    <w:rsid w:val="004258C0"/>
    <w:rsid w:val="004601E8"/>
    <w:rsid w:val="00475E2F"/>
    <w:rsid w:val="004E080A"/>
    <w:rsid w:val="004E3437"/>
    <w:rsid w:val="004F541C"/>
    <w:rsid w:val="00564DB1"/>
    <w:rsid w:val="005740A6"/>
    <w:rsid w:val="005C299A"/>
    <w:rsid w:val="005C7DF3"/>
    <w:rsid w:val="005E4EBB"/>
    <w:rsid w:val="00696D21"/>
    <w:rsid w:val="006A0C14"/>
    <w:rsid w:val="006F2F49"/>
    <w:rsid w:val="006F75A6"/>
    <w:rsid w:val="00763BA6"/>
    <w:rsid w:val="00843C96"/>
    <w:rsid w:val="008C0953"/>
    <w:rsid w:val="00943833"/>
    <w:rsid w:val="009C3B84"/>
    <w:rsid w:val="00A115F4"/>
    <w:rsid w:val="00AE02C0"/>
    <w:rsid w:val="00B05C07"/>
    <w:rsid w:val="00B336D6"/>
    <w:rsid w:val="00B464CE"/>
    <w:rsid w:val="00BC22A1"/>
    <w:rsid w:val="00BE55B2"/>
    <w:rsid w:val="00C0502D"/>
    <w:rsid w:val="00C4312B"/>
    <w:rsid w:val="00CC3778"/>
    <w:rsid w:val="00D06F5E"/>
    <w:rsid w:val="00D3315F"/>
    <w:rsid w:val="00D84459"/>
    <w:rsid w:val="00DB4676"/>
    <w:rsid w:val="00DF4425"/>
    <w:rsid w:val="00E3665C"/>
    <w:rsid w:val="00E800FE"/>
    <w:rsid w:val="00EC56DA"/>
    <w:rsid w:val="00EE325F"/>
    <w:rsid w:val="00F534E9"/>
    <w:rsid w:val="00F609E4"/>
    <w:rsid w:val="00FC6F4D"/>
    <w:rsid w:val="0146671D"/>
    <w:rsid w:val="025A3415"/>
    <w:rsid w:val="030F0571"/>
    <w:rsid w:val="031A054A"/>
    <w:rsid w:val="033B2A91"/>
    <w:rsid w:val="03477FB3"/>
    <w:rsid w:val="04884E7D"/>
    <w:rsid w:val="04C92BF6"/>
    <w:rsid w:val="05D67EC2"/>
    <w:rsid w:val="05FE4DA1"/>
    <w:rsid w:val="07220FC6"/>
    <w:rsid w:val="07C105CB"/>
    <w:rsid w:val="08CE1427"/>
    <w:rsid w:val="09C92B88"/>
    <w:rsid w:val="09DA2895"/>
    <w:rsid w:val="0A244599"/>
    <w:rsid w:val="0AC44266"/>
    <w:rsid w:val="0B3E6399"/>
    <w:rsid w:val="0B5C54C1"/>
    <w:rsid w:val="0D7278AE"/>
    <w:rsid w:val="0E294F2A"/>
    <w:rsid w:val="0F3C4779"/>
    <w:rsid w:val="10282C94"/>
    <w:rsid w:val="102925BE"/>
    <w:rsid w:val="106F1177"/>
    <w:rsid w:val="10E64287"/>
    <w:rsid w:val="114615F2"/>
    <w:rsid w:val="11995427"/>
    <w:rsid w:val="1302738C"/>
    <w:rsid w:val="14EA23AB"/>
    <w:rsid w:val="15463FE7"/>
    <w:rsid w:val="15BD06CF"/>
    <w:rsid w:val="16FB3900"/>
    <w:rsid w:val="17437CE1"/>
    <w:rsid w:val="17E32DC5"/>
    <w:rsid w:val="188123FA"/>
    <w:rsid w:val="18DC33E6"/>
    <w:rsid w:val="19FB10A7"/>
    <w:rsid w:val="1B9F22EC"/>
    <w:rsid w:val="1BF33EE1"/>
    <w:rsid w:val="1D2025D5"/>
    <w:rsid w:val="1D797D10"/>
    <w:rsid w:val="1DCB5E7F"/>
    <w:rsid w:val="1DF44434"/>
    <w:rsid w:val="1EAD4A31"/>
    <w:rsid w:val="1ECB6014"/>
    <w:rsid w:val="20F323B0"/>
    <w:rsid w:val="22147D89"/>
    <w:rsid w:val="222C16F1"/>
    <w:rsid w:val="23034D51"/>
    <w:rsid w:val="23F731AA"/>
    <w:rsid w:val="24585808"/>
    <w:rsid w:val="248E4852"/>
    <w:rsid w:val="25F50DCA"/>
    <w:rsid w:val="265E38C6"/>
    <w:rsid w:val="278E1133"/>
    <w:rsid w:val="27DE7EA9"/>
    <w:rsid w:val="28485A99"/>
    <w:rsid w:val="28DC678F"/>
    <w:rsid w:val="29305ED5"/>
    <w:rsid w:val="296C4323"/>
    <w:rsid w:val="2A584CBE"/>
    <w:rsid w:val="2A8D5944"/>
    <w:rsid w:val="2B635B98"/>
    <w:rsid w:val="2B826C85"/>
    <w:rsid w:val="2BAB1C69"/>
    <w:rsid w:val="2C232EEC"/>
    <w:rsid w:val="2C4D4B66"/>
    <w:rsid w:val="2C683CCA"/>
    <w:rsid w:val="2CB47D97"/>
    <w:rsid w:val="2CF771BA"/>
    <w:rsid w:val="2D1B34FF"/>
    <w:rsid w:val="2DAA25F9"/>
    <w:rsid w:val="2E19141A"/>
    <w:rsid w:val="2EB37B1F"/>
    <w:rsid w:val="2ED243AB"/>
    <w:rsid w:val="2EF6714D"/>
    <w:rsid w:val="2F161A88"/>
    <w:rsid w:val="2F917C93"/>
    <w:rsid w:val="2FA83BE4"/>
    <w:rsid w:val="308C401E"/>
    <w:rsid w:val="30B707DD"/>
    <w:rsid w:val="31205382"/>
    <w:rsid w:val="32790717"/>
    <w:rsid w:val="32916D09"/>
    <w:rsid w:val="32EE5525"/>
    <w:rsid w:val="35384FA3"/>
    <w:rsid w:val="35412F8E"/>
    <w:rsid w:val="37AD4E46"/>
    <w:rsid w:val="37BB4843"/>
    <w:rsid w:val="393D168D"/>
    <w:rsid w:val="395C7C72"/>
    <w:rsid w:val="39EA3F01"/>
    <w:rsid w:val="3A05037B"/>
    <w:rsid w:val="3B226B66"/>
    <w:rsid w:val="3C945977"/>
    <w:rsid w:val="3CEF086E"/>
    <w:rsid w:val="3D02295D"/>
    <w:rsid w:val="3D0A3A82"/>
    <w:rsid w:val="3D8E40E8"/>
    <w:rsid w:val="3E1D0A54"/>
    <w:rsid w:val="40334DDA"/>
    <w:rsid w:val="40B56DDD"/>
    <w:rsid w:val="4103110C"/>
    <w:rsid w:val="41520301"/>
    <w:rsid w:val="41C4248F"/>
    <w:rsid w:val="41EE063A"/>
    <w:rsid w:val="4557723D"/>
    <w:rsid w:val="47125634"/>
    <w:rsid w:val="4766268F"/>
    <w:rsid w:val="479806E0"/>
    <w:rsid w:val="480B7EA6"/>
    <w:rsid w:val="495D5A5C"/>
    <w:rsid w:val="49BB5CF3"/>
    <w:rsid w:val="4AB8474B"/>
    <w:rsid w:val="4ABD6D0E"/>
    <w:rsid w:val="4ACC260D"/>
    <w:rsid w:val="4AF15D51"/>
    <w:rsid w:val="4CD34674"/>
    <w:rsid w:val="4D437824"/>
    <w:rsid w:val="4D5A7EE4"/>
    <w:rsid w:val="4DB94CFB"/>
    <w:rsid w:val="4E3C663D"/>
    <w:rsid w:val="4E871DD6"/>
    <w:rsid w:val="50275EE9"/>
    <w:rsid w:val="50C845C6"/>
    <w:rsid w:val="525A647B"/>
    <w:rsid w:val="52FF055F"/>
    <w:rsid w:val="540663F4"/>
    <w:rsid w:val="55E97119"/>
    <w:rsid w:val="56376474"/>
    <w:rsid w:val="56945A58"/>
    <w:rsid w:val="572D1512"/>
    <w:rsid w:val="57B60280"/>
    <w:rsid w:val="58065B0E"/>
    <w:rsid w:val="59300016"/>
    <w:rsid w:val="59393B81"/>
    <w:rsid w:val="5A6A6B56"/>
    <w:rsid w:val="5B0D1F27"/>
    <w:rsid w:val="5BC1281F"/>
    <w:rsid w:val="5C7B36C9"/>
    <w:rsid w:val="5CC01915"/>
    <w:rsid w:val="5D870003"/>
    <w:rsid w:val="5E0A1B7E"/>
    <w:rsid w:val="5E654A2F"/>
    <w:rsid w:val="5F097106"/>
    <w:rsid w:val="5F88044A"/>
    <w:rsid w:val="5FF45D50"/>
    <w:rsid w:val="60691145"/>
    <w:rsid w:val="60841C24"/>
    <w:rsid w:val="60B61469"/>
    <w:rsid w:val="60C22844"/>
    <w:rsid w:val="60EE7E38"/>
    <w:rsid w:val="61D82F25"/>
    <w:rsid w:val="61D95811"/>
    <w:rsid w:val="62315DCE"/>
    <w:rsid w:val="62B06056"/>
    <w:rsid w:val="62B449FC"/>
    <w:rsid w:val="62DC4450"/>
    <w:rsid w:val="62E90960"/>
    <w:rsid w:val="634F0DD6"/>
    <w:rsid w:val="65670AE9"/>
    <w:rsid w:val="66BD5003"/>
    <w:rsid w:val="680C7FF2"/>
    <w:rsid w:val="69B324EB"/>
    <w:rsid w:val="6A180896"/>
    <w:rsid w:val="6A3B2800"/>
    <w:rsid w:val="6AAB638C"/>
    <w:rsid w:val="6AB00827"/>
    <w:rsid w:val="6C2B70CD"/>
    <w:rsid w:val="6C4739C9"/>
    <w:rsid w:val="6E66157F"/>
    <w:rsid w:val="6EAA60DA"/>
    <w:rsid w:val="6EF32EC2"/>
    <w:rsid w:val="6F97712E"/>
    <w:rsid w:val="700B3695"/>
    <w:rsid w:val="70FB6C24"/>
    <w:rsid w:val="724B4CFF"/>
    <w:rsid w:val="72F46D6D"/>
    <w:rsid w:val="73A72E8B"/>
    <w:rsid w:val="74405D6F"/>
    <w:rsid w:val="75923A26"/>
    <w:rsid w:val="75FE68B8"/>
    <w:rsid w:val="76596FC4"/>
    <w:rsid w:val="766179FD"/>
    <w:rsid w:val="767C228C"/>
    <w:rsid w:val="76F73EF4"/>
    <w:rsid w:val="77324833"/>
    <w:rsid w:val="774A0D82"/>
    <w:rsid w:val="775B5D82"/>
    <w:rsid w:val="776613E5"/>
    <w:rsid w:val="785713B1"/>
    <w:rsid w:val="78FB1FC2"/>
    <w:rsid w:val="7998410D"/>
    <w:rsid w:val="7B957EBA"/>
    <w:rsid w:val="7BA97A8B"/>
    <w:rsid w:val="7C310635"/>
    <w:rsid w:val="7D420E11"/>
    <w:rsid w:val="7D5258C8"/>
    <w:rsid w:val="7D870FDD"/>
    <w:rsid w:val="7D9C3BB6"/>
    <w:rsid w:val="7DBD427B"/>
    <w:rsid w:val="7E1C1254"/>
    <w:rsid w:val="7EAA32CB"/>
    <w:rsid w:val="7FBA3FCB"/>
    <w:rsid w:val="7FE979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jc w:val="left"/>
    </w:pPr>
    <w:rPr>
      <w:kern w:val="0"/>
      <w:sz w:val="24"/>
    </w:rPr>
  </w:style>
  <w:style w:type="character" w:styleId="7">
    <w:name w:val="page number"/>
    <w:basedOn w:val="6"/>
    <w:unhideWhenUsed/>
    <w:uiPriority w:val="99"/>
  </w:style>
  <w:style w:type="paragraph" w:customStyle="1" w:styleId="8">
    <w:name w:val="Char"/>
    <w:basedOn w:val="1"/>
    <w:qFormat/>
    <w:uiPriority w:val="0"/>
  </w:style>
  <w:style w:type="character" w:customStyle="1" w:styleId="9">
    <w:name w:val="页眉 Char"/>
    <w:basedOn w:val="6"/>
    <w:link w:val="3"/>
    <w:semiHidden/>
    <w:qFormat/>
    <w:uiPriority w:val="0"/>
    <w:rPr>
      <w:kern w:val="2"/>
      <w:sz w:val="18"/>
      <w:szCs w:val="18"/>
    </w:rPr>
  </w:style>
  <w:style w:type="character" w:customStyle="1" w:styleId="10">
    <w:name w:val="页脚 Char"/>
    <w:basedOn w:val="6"/>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7029</Words>
  <Characters>202</Characters>
  <Lines>1</Lines>
  <Paragraphs>14</Paragraphs>
  <TotalTime>0</TotalTime>
  <ScaleCrop>false</ScaleCrop>
  <LinksUpToDate>false</LinksUpToDate>
  <CharactersWithSpaces>7217</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2022-01-22T07:21:00Z</dcterms:created>
  <dc:creator>lenovo</dc:creator>
  <cp:lastModifiedBy>HP</cp:lastModifiedBy>
  <cp:lastPrinted>2021-12-23T09:26:00Z</cp:lastPrinted>
  <dcterms:modified xsi:type="dcterms:W3CDTF">2022-01-23T07:22:24Z</dcterms:modified>
  <dc:title>根据《浙江省行政规范性文件管理办法》规定，属于行政规范性文件的，由区政府办公室职能科室通知起草单位补充：</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