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垃圾分类工作考核量化办法说明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根据《古林镇住宅小区物业服务考核评分细则》要求，古林镇住宅小区物业服务垃圾分类工作分值为</w:t>
      </w:r>
      <w:r>
        <w:rPr>
          <w:rFonts w:hint="eastAsia" w:ascii="仿宋_GB2312" w:hAnsi="仿宋_GB2312" w:eastAsia="仿宋_GB2312" w:cs="仿宋_GB2312"/>
          <w:b w:val="0"/>
          <w:bCs w:val="0"/>
          <w:sz w:val="32"/>
          <w:szCs w:val="32"/>
          <w:lang w:val="en-US" w:eastAsia="zh-CN"/>
        </w:rPr>
        <w:t>30分。为了能客观反映物业企业在垃圾分类工作的成效，特制订以下量化办法：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一、当月各小区物业服务垃圾分类工作分值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当月的各小区物业服务垃圾分类工作分值按海曙区垃圾分类办对各小区垃圾分类工作考核分数占比70%和社区、居委会对各小区垃圾分类工作考核分数占比30%来折算。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具体折算公式如下：当月各小区物业服务垃圾分类工作分值=区当月垃圾分类工作考核分数*0.7*0.3+社区、居委会当月垃圾分类工作考核分数*0.3*0.3。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二、其他扣分项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1、垃圾分类问题点位督查整改未按时完成或未整改的，在折算分值基础上每次再扣1分/点位。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2、各小区的区当月垃圾分类工作考核分数在80分以下的，在折算分值基础上再扣15分。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海曙区垃圾分类办对各小区垃圾分类工作考核分数根据《2022年度宁波市生活垃圾分类处理与循环利用工作评价细则》附件3居住小区生活垃圾分类评价标准执行。社区、居委会每月一次对各小区垃圾分类工作考核也参照此评价标准执行，如新评价细则出台，原评价细则同步废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2022年度宁波市生活垃圾分类处理与循环</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利用工作评价细则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rPr>
        <w:t>宁波市生活垃圾分类处理与循环利用评价工作</w:t>
      </w:r>
      <w:r>
        <w:rPr>
          <w:rFonts w:hint="eastAsia" w:ascii="仿宋_GB2312" w:hAnsi="仿宋" w:eastAsia="仿宋_GB2312"/>
          <w:sz w:val="32"/>
          <w:szCs w:val="32"/>
          <w:lang w:val="en-US" w:eastAsia="zh-CN"/>
        </w:rPr>
        <w:t>坚持高标准实现</w:t>
      </w:r>
      <w:r>
        <w:rPr>
          <w:rFonts w:hint="eastAsia" w:eastAsia="仿宋_GB2312"/>
          <w:sz w:val="32"/>
        </w:rPr>
        <w:t>生活垃圾全域治理目标</w:t>
      </w:r>
      <w:r>
        <w:rPr>
          <w:rFonts w:hint="eastAsia" w:eastAsia="仿宋_GB2312"/>
          <w:sz w:val="32"/>
          <w:lang w:val="en-US" w:eastAsia="zh-CN"/>
        </w:rPr>
        <w:t>任务，贯穿</w:t>
      </w:r>
      <w:r>
        <w:rPr>
          <w:rFonts w:hint="eastAsia" w:ascii="仿宋_GB2312" w:hAnsi="仿宋" w:eastAsia="仿宋_GB2312"/>
          <w:sz w:val="32"/>
          <w:szCs w:val="32"/>
        </w:rPr>
        <w:t>全品类规范、全链条提升、全覆盖督促、信息化监管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理机制、强引导、重依法、增设施、美环境，高标准完成站稳全国全省前列的“硬指标”</w:t>
      </w:r>
      <w:r>
        <w:rPr>
          <w:rFonts w:hint="eastAsia" w:ascii="仿宋_GB2312" w:hAnsi="仿宋" w:eastAsia="仿宋_GB2312"/>
          <w:sz w:val="32"/>
          <w:szCs w:val="32"/>
        </w:rPr>
        <w:t>，</w:t>
      </w:r>
      <w:r>
        <w:rPr>
          <w:rFonts w:hint="eastAsia" w:ascii="仿宋_GB2312" w:hAnsi="仿宋" w:eastAsia="仿宋_GB2312"/>
          <w:sz w:val="32"/>
          <w:szCs w:val="32"/>
          <w:lang w:val="en-US" w:eastAsia="zh-CN"/>
        </w:rPr>
        <w:t>为高质量建设宁波现代化滨海大都市生态之都做出履责担当。</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一、基本原则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通过线上、线下</w:t>
      </w:r>
      <w:r>
        <w:rPr>
          <w:rFonts w:hint="eastAsia" w:ascii="仿宋_GB2312" w:hAnsi="仿宋" w:eastAsia="仿宋_GB2312"/>
          <w:sz w:val="32"/>
          <w:szCs w:val="32"/>
        </w:rPr>
        <w:t>日常评价和专项监督相结合，过程管理和目标要求相结合，注重实效，客观评价各地各部门垃圾治理工作</w:t>
      </w:r>
      <w:r>
        <w:rPr>
          <w:rFonts w:hint="eastAsia" w:ascii="仿宋_GB2312" w:hAnsi="仿宋" w:eastAsia="仿宋_GB2312"/>
          <w:sz w:val="32"/>
          <w:szCs w:val="32"/>
          <w:lang w:eastAsia="zh-CN"/>
        </w:rPr>
        <w:t>成效</w:t>
      </w:r>
      <w:r>
        <w:rPr>
          <w:rFonts w:hint="eastAsia" w:ascii="仿宋_GB2312" w:hAnsi="仿宋"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评价范围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海曙区、江北区、鄞州区、镇海区、北仑区、奉化区、慈溪市、余姚市、宁海县、象山县以及宁波国家高新区、前湾新区范围所辖行政区域。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评价说明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eastAsia" w:ascii="仿宋_GB2312" w:hAnsi="仿宋" w:eastAsia="仿宋_GB2312"/>
          <w:sz w:val="32"/>
          <w:szCs w:val="32"/>
        </w:rPr>
      </w:pPr>
      <w:r>
        <w:rPr>
          <w:rFonts w:hint="eastAsia" w:ascii="仿宋_GB2312" w:hAnsi="仿宋" w:eastAsia="仿宋_GB2312"/>
          <w:sz w:val="32"/>
          <w:szCs w:val="32"/>
        </w:rPr>
        <w:t>1、各区（县、市）</w:t>
      </w:r>
      <w:r>
        <w:rPr>
          <w:rFonts w:hint="eastAsia" w:ascii="仿宋_GB2312" w:hAnsi="仿宋" w:eastAsia="仿宋_GB2312"/>
          <w:sz w:val="32"/>
          <w:szCs w:val="32"/>
          <w:lang w:eastAsia="zh-CN"/>
        </w:rPr>
        <w:t>、功能园区</w:t>
      </w:r>
      <w:r>
        <w:rPr>
          <w:rFonts w:hint="eastAsia" w:ascii="仿宋_GB2312" w:hAnsi="仿宋" w:eastAsia="仿宋_GB2312"/>
          <w:sz w:val="32"/>
          <w:szCs w:val="32"/>
        </w:rPr>
        <w:t>采取季度评价和年度评价的方式进行综合评价排名</w:t>
      </w:r>
      <w:r>
        <w:rPr>
          <w:rFonts w:hint="eastAsia" w:ascii="仿宋_GB2312" w:hAnsi="仿宋" w:eastAsia="仿宋_GB2312"/>
          <w:sz w:val="32"/>
          <w:szCs w:val="32"/>
          <w:lang w:eastAsia="zh-CN"/>
        </w:rPr>
        <w:t>，</w:t>
      </w:r>
      <w:r>
        <w:rPr>
          <w:rFonts w:hint="eastAsia" w:ascii="仿宋_GB2312" w:hAnsi="仿宋" w:eastAsia="仿宋_GB2312"/>
          <w:sz w:val="32"/>
          <w:szCs w:val="32"/>
        </w:rPr>
        <w:t>设“优秀区域、良好区域、不合格区域”。</w:t>
      </w:r>
      <w:r>
        <w:rPr>
          <w:rFonts w:hint="eastAsia" w:ascii="仿宋_GB2312" w:hAnsi="仿宋" w:eastAsia="仿宋_GB2312"/>
          <w:sz w:val="32"/>
          <w:szCs w:val="32"/>
          <w:lang w:eastAsia="zh-CN"/>
        </w:rPr>
        <w:t>评价</w:t>
      </w:r>
      <w:r>
        <w:rPr>
          <w:rFonts w:hint="eastAsia" w:ascii="仿宋_GB2312" w:hAnsi="仿宋" w:eastAsia="仿宋_GB2312"/>
          <w:sz w:val="32"/>
          <w:szCs w:val="32"/>
        </w:rPr>
        <w:t>结果</w:t>
      </w:r>
      <w:r>
        <w:rPr>
          <w:rFonts w:hint="eastAsia" w:ascii="仿宋_GB2312" w:hAnsi="仿宋" w:eastAsia="仿宋_GB2312"/>
          <w:sz w:val="32"/>
          <w:szCs w:val="32"/>
          <w:lang w:eastAsia="zh-CN"/>
        </w:rPr>
        <w:t>纳入</w:t>
      </w:r>
      <w:r>
        <w:rPr>
          <w:rFonts w:hint="eastAsia" w:ascii="仿宋_GB2312" w:hAnsi="仿宋" w:eastAsia="仿宋_GB2312"/>
          <w:sz w:val="32"/>
          <w:szCs w:val="32"/>
        </w:rPr>
        <w:t>市政府对各区（县、市）政府、</w:t>
      </w:r>
      <w:r>
        <w:rPr>
          <w:rFonts w:hint="eastAsia" w:ascii="仿宋_GB2312" w:hAnsi="仿宋" w:eastAsia="仿宋_GB2312"/>
          <w:sz w:val="32"/>
          <w:szCs w:val="32"/>
          <w:lang w:eastAsia="zh-CN"/>
        </w:rPr>
        <w:t>功能园区</w:t>
      </w:r>
      <w:r>
        <w:rPr>
          <w:rFonts w:hint="eastAsia" w:ascii="仿宋_GB2312" w:hAnsi="仿宋" w:eastAsia="仿宋_GB2312"/>
          <w:sz w:val="32"/>
          <w:szCs w:val="32"/>
        </w:rPr>
        <w:t>管委会年度目标考核。</w:t>
      </w:r>
    </w:p>
    <w:p>
      <w:pPr>
        <w:rPr>
          <w:rFonts w:hint="eastAsia" w:ascii="仿宋_GB2312" w:hAnsi="仿宋" w:eastAsia="仿宋_GB2312"/>
          <w:sz w:val="32"/>
          <w:szCs w:val="32"/>
        </w:rPr>
      </w:pPr>
      <w:r>
        <w:rPr>
          <w:rFonts w:hint="eastAsia" w:ascii="仿宋_GB2312" w:hAnsi="仿宋" w:eastAsia="仿宋_GB2312"/>
          <w:sz w:val="32"/>
          <w:szCs w:val="32"/>
        </w:rPr>
        <w:br w:type="page"/>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市级</w:t>
      </w:r>
      <w:r>
        <w:rPr>
          <w:rFonts w:hint="eastAsia" w:ascii="仿宋_GB2312" w:hAnsi="仿宋" w:eastAsia="仿宋_GB2312"/>
          <w:sz w:val="32"/>
          <w:szCs w:val="32"/>
        </w:rPr>
        <w:t>成员单位采取季度评价和年度评价的方式进行综合评价排名</w:t>
      </w:r>
      <w:r>
        <w:rPr>
          <w:rFonts w:hint="eastAsia" w:ascii="仿宋_GB2312" w:hAnsi="仿宋" w:eastAsia="仿宋_GB2312"/>
          <w:sz w:val="32"/>
          <w:szCs w:val="32"/>
          <w:lang w:eastAsia="zh-CN"/>
        </w:rPr>
        <w:t>，</w:t>
      </w:r>
      <w:r>
        <w:rPr>
          <w:rFonts w:hint="eastAsia" w:ascii="仿宋_GB2312" w:hAnsi="仿宋" w:eastAsia="仿宋_GB2312"/>
          <w:sz w:val="32"/>
          <w:szCs w:val="32"/>
        </w:rPr>
        <w:t>设“优秀单位、良好单位、不合格单位”。</w:t>
      </w:r>
      <w:r>
        <w:rPr>
          <w:rFonts w:hint="eastAsia" w:ascii="仿宋_GB2312" w:hAnsi="仿宋" w:eastAsia="仿宋_GB2312"/>
          <w:sz w:val="32"/>
          <w:szCs w:val="32"/>
          <w:lang w:eastAsia="zh-CN"/>
        </w:rPr>
        <w:t>所辖</w:t>
      </w:r>
      <w:r>
        <w:rPr>
          <w:rFonts w:hint="eastAsia" w:ascii="仿宋_GB2312" w:hAnsi="仿宋" w:eastAsia="仿宋_GB2312"/>
          <w:sz w:val="32"/>
          <w:szCs w:val="32"/>
          <w:lang w:val="en-US" w:eastAsia="zh-CN"/>
        </w:rPr>
        <w:t>行业场所</w:t>
      </w:r>
      <w:r>
        <w:rPr>
          <w:rFonts w:hint="eastAsia" w:ascii="仿宋_GB2312" w:hAnsi="仿宋" w:eastAsia="仿宋_GB2312"/>
          <w:sz w:val="32"/>
          <w:szCs w:val="32"/>
        </w:rPr>
        <w:t>检查得分率低于</w:t>
      </w:r>
      <w:r>
        <w:rPr>
          <w:rFonts w:hint="eastAsia" w:ascii="仿宋_GB2312" w:hAnsi="仿宋" w:eastAsia="仿宋_GB2312"/>
          <w:sz w:val="32"/>
          <w:szCs w:val="32"/>
          <w:lang w:val="en-US" w:eastAsia="zh-CN"/>
        </w:rPr>
        <w:t>6</w:t>
      </w:r>
      <w:r>
        <w:rPr>
          <w:rFonts w:hint="eastAsia" w:ascii="仿宋_GB2312" w:hAnsi="仿宋" w:eastAsia="仿宋_GB2312"/>
          <w:sz w:val="32"/>
          <w:szCs w:val="32"/>
        </w:rPr>
        <w:t>0%的进行公开通报，</w:t>
      </w:r>
      <w:r>
        <w:rPr>
          <w:rFonts w:hint="eastAsia" w:ascii="仿宋_GB2312" w:hAnsi="仿宋" w:eastAsia="仿宋_GB2312"/>
          <w:sz w:val="32"/>
          <w:szCs w:val="32"/>
          <w:lang w:val="en-US" w:eastAsia="zh-CN"/>
        </w:rPr>
        <w:t>市分类办可提请领导小组相关领导予以</w:t>
      </w:r>
      <w:r>
        <w:rPr>
          <w:rFonts w:hint="eastAsia" w:ascii="仿宋_GB2312" w:hAnsi="仿宋" w:eastAsia="仿宋_GB2312"/>
          <w:sz w:val="32"/>
          <w:szCs w:val="32"/>
        </w:rPr>
        <w:t>约谈。</w:t>
      </w:r>
    </w:p>
    <w:p>
      <w:pPr>
        <w:keepNext w:val="0"/>
        <w:keepLines w:val="0"/>
        <w:pageBreakBefore w:val="0"/>
        <w:widowControl/>
        <w:kinsoku/>
        <w:wordWrap/>
        <w:overflowPunct/>
        <w:topLinePunct w:val="0"/>
        <w:autoSpaceDE/>
        <w:autoSpaceDN/>
        <w:bidi w:val="0"/>
        <w:adjustRightInd w:val="0"/>
        <w:snapToGrid w:val="0"/>
        <w:spacing w:after="0" w:line="560" w:lineRule="exact"/>
        <w:ind w:left="630" w:leftChars="300" w:firstLine="480" w:firstLineChars="150"/>
        <w:textAlignment w:val="auto"/>
        <w:outlineLvl w:val="9"/>
        <w:rPr>
          <w:rFonts w:hint="eastAsia" w:ascii="仿宋_GB2312" w:hAnsi="仿宋"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630" w:leftChars="300" w:firstLine="480" w:firstLineChars="150"/>
        <w:textAlignment w:val="auto"/>
        <w:outlineLvl w:val="9"/>
        <w:rPr>
          <w:rFonts w:hint="eastAsia" w:ascii="仿宋_GB2312" w:hAnsi="仿宋"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附件：3.</w:t>
      </w:r>
      <w:r>
        <w:rPr>
          <w:rFonts w:hint="eastAsia" w:ascii="仿宋_GB2312" w:hAnsi="仿宋" w:eastAsia="仿宋_GB2312"/>
          <w:sz w:val="32"/>
          <w:szCs w:val="32"/>
          <w:lang w:eastAsia="zh-CN"/>
        </w:rPr>
        <w:t>居住小区生活垃圾分类评价标准</w:t>
      </w:r>
    </w:p>
    <w:p>
      <w:pPr>
        <w:keepNext w:val="0"/>
        <w:keepLines w:val="0"/>
        <w:pageBreakBefore w:val="0"/>
        <w:widowControl/>
        <w:kinsoku/>
        <w:wordWrap/>
        <w:overflowPunct/>
        <w:topLinePunct w:val="0"/>
        <w:autoSpaceDE/>
        <w:autoSpaceDN/>
        <w:bidi w:val="0"/>
        <w:adjustRightInd w:val="0"/>
        <w:snapToGrid w:val="0"/>
        <w:spacing w:after="0" w:line="560" w:lineRule="exact"/>
        <w:ind w:firstLine="320" w:firstLineChars="100"/>
        <w:jc w:val="righ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创艺简标宋" w:hAnsi="创艺简标宋" w:eastAsia="创艺简标宋" w:cs="创艺简标宋"/>
          <w:sz w:val="44"/>
          <w:szCs w:val="44"/>
        </w:rPr>
        <w:sectPr>
          <w:pgSz w:w="11906" w:h="16838"/>
          <w:pgMar w:top="1440" w:right="1803" w:bottom="1440" w:left="1803" w:header="851" w:footer="992" w:gutter="0"/>
          <w:paperSrc/>
          <w:pgNumType w:fmt="numberInDash"/>
          <w:cols w:space="0" w:num="1"/>
          <w:rtlGutter w:val="0"/>
          <w:docGrid w:type="lines" w:linePitch="312" w:charSpace="0"/>
        </w:sectPr>
      </w:pPr>
      <w:r>
        <w:rPr>
          <w:rFonts w:hint="eastAsia" w:ascii="Times New Roman" w:hAnsi="Times New Roman"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eastAsia" w:ascii="仿宋" w:hAnsi="仿宋" w:eastAsia="仿宋"/>
          <w:sz w:val="32"/>
          <w:szCs w:val="32"/>
        </w:rPr>
      </w:pPr>
    </w:p>
    <w:p>
      <w:pPr>
        <w:spacing w:line="580" w:lineRule="exact"/>
        <w:rPr>
          <w:rFonts w:hint="eastAsia" w:ascii="黑体" w:hAnsi="黑体" w:eastAsia="黑体" w:cs="宋体"/>
          <w:sz w:val="32"/>
          <w:szCs w:val="32"/>
        </w:rPr>
      </w:pPr>
      <w:r>
        <w:rPr>
          <w:rFonts w:hint="eastAsia" w:ascii="黑体" w:hAnsi="黑体" w:eastAsia="黑体" w:cs="宋体"/>
          <w:sz w:val="32"/>
          <w:szCs w:val="32"/>
        </w:rPr>
        <w:t>附件3</w:t>
      </w:r>
    </w:p>
    <w:p>
      <w:pPr>
        <w:spacing w:line="580" w:lineRule="exact"/>
        <w:jc w:val="center"/>
        <w:rPr>
          <w:rFonts w:hint="eastAsia" w:ascii="创艺简标宋" w:eastAsia="创艺简标宋"/>
          <w:sz w:val="36"/>
          <w:szCs w:val="36"/>
        </w:rPr>
      </w:pPr>
      <w:r>
        <w:rPr>
          <w:rFonts w:hint="eastAsia" w:ascii="创艺简标宋" w:eastAsia="创艺简标宋"/>
          <w:sz w:val="36"/>
          <w:szCs w:val="36"/>
        </w:rPr>
        <w:t>居住小区生活垃圾分类评价标准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580"/>
        <w:gridCol w:w="873"/>
        <w:gridCol w:w="3600"/>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after="0"/>
              <w:jc w:val="center"/>
              <w:rPr>
                <w:rFonts w:hint="eastAsia"/>
                <w:b/>
                <w:lang w:eastAsia="zh-CN"/>
              </w:rPr>
            </w:pPr>
            <w:r>
              <w:rPr>
                <w:rFonts w:hint="eastAsia"/>
                <w:b/>
                <w:lang w:eastAsia="zh-CN"/>
              </w:rPr>
              <w:t>一级指标</w:t>
            </w:r>
          </w:p>
        </w:tc>
        <w:tc>
          <w:tcPr>
            <w:tcW w:w="1580" w:type="dxa"/>
            <w:noWrap w:val="0"/>
            <w:vAlign w:val="top"/>
          </w:tcPr>
          <w:p>
            <w:pPr>
              <w:spacing w:after="0"/>
              <w:jc w:val="center"/>
              <w:rPr>
                <w:rFonts w:hint="eastAsia"/>
                <w:b/>
                <w:lang w:eastAsia="zh-CN"/>
              </w:rPr>
            </w:pPr>
            <w:r>
              <w:rPr>
                <w:rFonts w:hint="eastAsia"/>
                <w:b/>
                <w:lang w:eastAsia="zh-CN"/>
              </w:rPr>
              <w:t>二级指标</w:t>
            </w:r>
          </w:p>
        </w:tc>
        <w:tc>
          <w:tcPr>
            <w:tcW w:w="873" w:type="dxa"/>
            <w:noWrap w:val="0"/>
            <w:vAlign w:val="top"/>
          </w:tcPr>
          <w:p>
            <w:pPr>
              <w:spacing w:after="0"/>
              <w:jc w:val="center"/>
              <w:rPr>
                <w:rFonts w:hint="eastAsia"/>
                <w:b/>
                <w:lang w:eastAsia="zh-CN"/>
              </w:rPr>
            </w:pPr>
            <w:r>
              <w:rPr>
                <w:rFonts w:hint="eastAsia"/>
                <w:b/>
                <w:lang w:eastAsia="zh-CN"/>
              </w:rPr>
              <w:t>分值</w:t>
            </w:r>
          </w:p>
        </w:tc>
        <w:tc>
          <w:tcPr>
            <w:tcW w:w="3600" w:type="dxa"/>
            <w:noWrap w:val="0"/>
            <w:vAlign w:val="top"/>
          </w:tcPr>
          <w:p>
            <w:pPr>
              <w:spacing w:after="0"/>
              <w:jc w:val="center"/>
              <w:rPr>
                <w:rFonts w:hint="eastAsia"/>
                <w:b/>
                <w:lang w:eastAsia="zh-CN"/>
              </w:rPr>
            </w:pPr>
            <w:r>
              <w:rPr>
                <w:rFonts w:hint="eastAsia"/>
                <w:b/>
                <w:lang w:eastAsia="zh-CN"/>
              </w:rPr>
              <w:t>评价内容</w:t>
            </w:r>
          </w:p>
        </w:tc>
        <w:tc>
          <w:tcPr>
            <w:tcW w:w="6301" w:type="dxa"/>
            <w:noWrap w:val="0"/>
            <w:vAlign w:val="top"/>
          </w:tcPr>
          <w:p>
            <w:pPr>
              <w:spacing w:after="0"/>
              <w:jc w:val="center"/>
              <w:rPr>
                <w:rFonts w:hint="eastAsia"/>
                <w:b/>
                <w:lang w:eastAsia="zh-CN"/>
              </w:rPr>
            </w:pPr>
            <w:r>
              <w:rPr>
                <w:rFonts w:hint="eastAsia"/>
                <w:b/>
                <w:lang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center"/>
          </w:tcPr>
          <w:p>
            <w:pPr>
              <w:spacing w:after="0" w:line="300" w:lineRule="exact"/>
              <w:jc w:val="center"/>
              <w:rPr>
                <w:rFonts w:hint="eastAsia"/>
                <w:sz w:val="21"/>
                <w:szCs w:val="21"/>
                <w:lang w:eastAsia="zh-CN"/>
              </w:rPr>
            </w:pPr>
            <w:r>
              <w:rPr>
                <w:rFonts w:hint="eastAsia"/>
                <w:sz w:val="21"/>
                <w:szCs w:val="21"/>
                <w:lang w:eastAsia="zh-CN"/>
              </w:rPr>
              <w:t>分类质量精准</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20分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20</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各类投放容器（厨余垃圾、其他垃圾、可回收物、有害垃圾）内垃圾分类质量精准。</w:t>
            </w:r>
          </w:p>
        </w:tc>
        <w:tc>
          <w:tcPr>
            <w:tcW w:w="6301" w:type="dxa"/>
            <w:noWrap w:val="0"/>
            <w:vAlign w:val="center"/>
          </w:tcPr>
          <w:p>
            <w:pPr>
              <w:spacing w:after="0" w:line="300" w:lineRule="exact"/>
              <w:jc w:val="left"/>
              <w:rPr>
                <w:rFonts w:hint="eastAsia"/>
                <w:sz w:val="21"/>
                <w:szCs w:val="21"/>
                <w:lang w:eastAsia="zh-CN"/>
              </w:rPr>
            </w:pPr>
            <w:r>
              <w:rPr>
                <w:rFonts w:hint="eastAsia"/>
                <w:sz w:val="21"/>
                <w:szCs w:val="21"/>
                <w:lang w:eastAsia="zh-CN"/>
              </w:rPr>
              <w:t>未达到要求的，不得分。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spacing w:after="0" w:line="300" w:lineRule="exact"/>
              <w:jc w:val="center"/>
              <w:rPr>
                <w:rFonts w:hint="eastAsia"/>
                <w:sz w:val="21"/>
                <w:szCs w:val="21"/>
                <w:lang w:eastAsia="zh-CN"/>
              </w:rPr>
            </w:pPr>
            <w:r>
              <w:rPr>
                <w:rFonts w:hint="eastAsia"/>
                <w:sz w:val="21"/>
                <w:szCs w:val="21"/>
                <w:lang w:eastAsia="zh-CN"/>
              </w:rPr>
              <w:t>容器齐全完好</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20分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eastAsia="zh-CN"/>
              </w:rPr>
              <w:t>基础配置</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至少摆放</w:t>
            </w:r>
            <w:r>
              <w:rPr>
                <w:rFonts w:hint="eastAsia"/>
                <w:sz w:val="21"/>
                <w:szCs w:val="21"/>
                <w:lang w:val="en-US" w:eastAsia="zh-CN"/>
              </w:rPr>
              <w:t>1处四分类投放容器。</w:t>
            </w:r>
          </w:p>
        </w:tc>
        <w:tc>
          <w:tcPr>
            <w:tcW w:w="6301" w:type="dxa"/>
            <w:noWrap w:val="0"/>
            <w:vAlign w:val="center"/>
          </w:tcPr>
          <w:p>
            <w:pPr>
              <w:spacing w:after="0" w:line="300" w:lineRule="exact"/>
              <w:jc w:val="left"/>
              <w:rPr>
                <w:rFonts w:hint="eastAsia"/>
                <w:sz w:val="21"/>
                <w:szCs w:val="21"/>
                <w:lang w:eastAsia="zh-CN"/>
              </w:rPr>
            </w:pPr>
            <w:r>
              <w:rPr>
                <w:rFonts w:hint="eastAsia"/>
                <w:sz w:val="21"/>
                <w:szCs w:val="21"/>
                <w:lang w:eastAsia="zh-CN"/>
              </w:rPr>
              <w:t>未摆放</w:t>
            </w:r>
            <w:r>
              <w:rPr>
                <w:rFonts w:hint="eastAsia"/>
                <w:sz w:val="21"/>
                <w:szCs w:val="21"/>
                <w:lang w:val="en-US" w:eastAsia="zh-CN"/>
              </w:rPr>
              <w:t>四分类投放容器的，不得分。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spacing w:after="0" w:line="300" w:lineRule="exact"/>
              <w:jc w:val="center"/>
              <w:rPr>
                <w:rFonts w:hint="eastAsia"/>
                <w:sz w:val="21"/>
                <w:szCs w:val="21"/>
                <w:lang w:eastAsia="zh-CN"/>
              </w:rPr>
            </w:pP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eastAsia="zh-CN"/>
              </w:rPr>
              <w:t>其他配置</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val="en-US" w:eastAsia="zh-CN"/>
              </w:rPr>
              <w:t>按照实际容器数的150%配置投放容器。</w:t>
            </w:r>
            <w:r>
              <w:rPr>
                <w:rFonts w:hint="eastAsia"/>
                <w:sz w:val="21"/>
                <w:szCs w:val="21"/>
                <w:lang w:eastAsia="zh-CN"/>
              </w:rPr>
              <w:t>厨余垃圾投放容器数量≥20%。</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1.未按照150%配置投放容器的</w:t>
            </w:r>
            <w:r>
              <w:rPr>
                <w:rFonts w:hint="eastAsia"/>
                <w:sz w:val="21"/>
                <w:szCs w:val="21"/>
                <w:lang w:eastAsia="zh-CN"/>
              </w:rPr>
              <w:t>，扣</w:t>
            </w:r>
            <w:r>
              <w:rPr>
                <w:rFonts w:hint="eastAsia"/>
                <w:sz w:val="21"/>
                <w:szCs w:val="21"/>
                <w:lang w:val="en-US" w:eastAsia="zh-CN"/>
              </w:rPr>
              <w:t>3</w:t>
            </w:r>
            <w:r>
              <w:rPr>
                <w:rFonts w:hint="eastAsia"/>
                <w:sz w:val="21"/>
                <w:szCs w:val="21"/>
                <w:lang w:eastAsia="zh-CN"/>
              </w:rPr>
              <w:t>分（实行以桶换桶的小区</w:t>
            </w:r>
            <w:r>
              <w:rPr>
                <w:rFonts w:hint="eastAsia"/>
                <w:sz w:val="21"/>
                <w:szCs w:val="21"/>
                <w:lang w:val="en-US" w:eastAsia="zh-CN"/>
              </w:rPr>
              <w:t>投放容器</w:t>
            </w:r>
            <w:r>
              <w:rPr>
                <w:rFonts w:hint="eastAsia"/>
                <w:sz w:val="21"/>
                <w:szCs w:val="21"/>
                <w:lang w:eastAsia="zh-CN"/>
              </w:rPr>
              <w:t>数量不作强制要求，但出现垃圾满溢的本项不得分）；</w:t>
            </w:r>
          </w:p>
          <w:p>
            <w:pPr>
              <w:spacing w:after="0" w:line="300" w:lineRule="exact"/>
              <w:jc w:val="left"/>
              <w:rPr>
                <w:rFonts w:hint="eastAsia"/>
                <w:sz w:val="21"/>
                <w:szCs w:val="21"/>
                <w:lang w:eastAsia="zh-CN"/>
              </w:rPr>
            </w:pPr>
            <w:r>
              <w:rPr>
                <w:rFonts w:hint="eastAsia"/>
                <w:sz w:val="21"/>
                <w:szCs w:val="21"/>
                <w:lang w:val="en-US" w:eastAsia="zh-CN"/>
              </w:rPr>
              <w:t>2.</w:t>
            </w:r>
            <w:r>
              <w:rPr>
                <w:rFonts w:hint="eastAsia"/>
                <w:sz w:val="21"/>
                <w:szCs w:val="21"/>
                <w:lang w:eastAsia="zh-CN"/>
              </w:rPr>
              <w:t>厨余垃圾投放容器数量少于20%的，扣</w:t>
            </w:r>
            <w:r>
              <w:rPr>
                <w:rFonts w:hint="eastAsia"/>
                <w:sz w:val="21"/>
                <w:szCs w:val="21"/>
                <w:lang w:val="en-US" w:eastAsia="zh-CN"/>
              </w:rPr>
              <w:t>2分</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spacing w:after="0" w:line="300" w:lineRule="exact"/>
              <w:jc w:val="center"/>
              <w:rPr>
                <w:rFonts w:hint="eastAsia"/>
                <w:sz w:val="21"/>
                <w:szCs w:val="21"/>
                <w:lang w:eastAsia="zh-CN"/>
              </w:rPr>
            </w:pP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eastAsia="zh-CN"/>
              </w:rPr>
              <w:t>容器整洁</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10</w:t>
            </w:r>
          </w:p>
        </w:tc>
        <w:tc>
          <w:tcPr>
            <w:tcW w:w="3600"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不出现桶脏、桶破、缺盖、磨损严重问题。标识标识正确。</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1.出现桶破、缺盖、磨损严重的（垃圾房、亭、箱等损坏），扣5分；</w:t>
            </w:r>
          </w:p>
          <w:p>
            <w:pPr>
              <w:spacing w:after="0" w:line="300" w:lineRule="exact"/>
              <w:jc w:val="left"/>
              <w:rPr>
                <w:rFonts w:hint="eastAsia"/>
                <w:sz w:val="21"/>
                <w:szCs w:val="21"/>
                <w:lang w:val="en-US" w:eastAsia="zh-CN"/>
              </w:rPr>
            </w:pPr>
            <w:r>
              <w:rPr>
                <w:rFonts w:hint="eastAsia"/>
                <w:sz w:val="21"/>
                <w:szCs w:val="21"/>
                <w:lang w:val="en-US" w:eastAsia="zh-CN"/>
              </w:rPr>
              <w:t>2.出现桶脏、磨损的（垃圾房、亭、箱等脏污、磨损），扣3分；</w:t>
            </w:r>
          </w:p>
          <w:p>
            <w:pPr>
              <w:spacing w:after="0" w:line="300" w:lineRule="exact"/>
              <w:jc w:val="left"/>
              <w:rPr>
                <w:rFonts w:hint="eastAsia"/>
                <w:sz w:val="21"/>
                <w:szCs w:val="21"/>
                <w:lang w:val="en-US" w:eastAsia="zh-CN"/>
              </w:rPr>
            </w:pPr>
            <w:r>
              <w:rPr>
                <w:rFonts w:hint="eastAsia"/>
                <w:sz w:val="21"/>
                <w:szCs w:val="21"/>
                <w:lang w:val="en-US" w:eastAsia="zh-CN"/>
              </w:rPr>
              <w:t>3.出现标识错误、磨损的，扣2分。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spacing w:after="0" w:line="300" w:lineRule="exact"/>
              <w:jc w:val="center"/>
              <w:rPr>
                <w:rFonts w:hint="eastAsia"/>
                <w:sz w:val="21"/>
                <w:szCs w:val="21"/>
                <w:lang w:eastAsia="zh-CN"/>
              </w:rPr>
            </w:pPr>
            <w:r>
              <w:rPr>
                <w:rFonts w:hint="eastAsia"/>
                <w:sz w:val="21"/>
                <w:szCs w:val="21"/>
                <w:lang w:eastAsia="zh-CN"/>
              </w:rPr>
              <w:t>分类环境整洁</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20分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eastAsia="zh-CN"/>
              </w:rPr>
              <w:t>投放点整洁</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eastAsia="zh-CN"/>
              </w:rPr>
              <w:t>10</w:t>
            </w:r>
          </w:p>
        </w:tc>
        <w:tc>
          <w:tcPr>
            <w:tcW w:w="3600"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投放环境整洁有序。</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1.存在垃圾包现象的，扣5分；垃圾包问题严重的（面积超过0.4米×0.4米），该项不得分；</w:t>
            </w:r>
          </w:p>
          <w:p>
            <w:pPr>
              <w:spacing w:after="0" w:line="300" w:lineRule="exact"/>
              <w:jc w:val="left"/>
              <w:rPr>
                <w:rFonts w:hint="eastAsia"/>
                <w:sz w:val="21"/>
                <w:szCs w:val="21"/>
                <w:lang w:val="en-US" w:eastAsia="zh-CN"/>
              </w:rPr>
            </w:pPr>
            <w:r>
              <w:rPr>
                <w:rFonts w:hint="eastAsia"/>
                <w:sz w:val="21"/>
                <w:szCs w:val="21"/>
                <w:lang w:val="en-US" w:eastAsia="zh-CN"/>
              </w:rPr>
              <w:t>2.周边地面不洁的，扣3分；</w:t>
            </w:r>
          </w:p>
          <w:p>
            <w:pPr>
              <w:spacing w:after="0" w:line="300" w:lineRule="exact"/>
              <w:jc w:val="left"/>
              <w:rPr>
                <w:rFonts w:hint="eastAsia"/>
                <w:sz w:val="21"/>
                <w:szCs w:val="21"/>
                <w:lang w:val="en-US" w:eastAsia="zh-CN"/>
              </w:rPr>
            </w:pPr>
            <w:r>
              <w:rPr>
                <w:rFonts w:hint="eastAsia"/>
                <w:sz w:val="21"/>
                <w:szCs w:val="21"/>
                <w:lang w:val="en-US" w:eastAsia="zh-CN"/>
              </w:rPr>
              <w:t>3.投放容器摆放凌乱的，扣3分。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spacing w:after="0" w:line="300" w:lineRule="exact"/>
              <w:jc w:val="center"/>
              <w:rPr>
                <w:rFonts w:hint="eastAsia"/>
                <w:sz w:val="21"/>
                <w:szCs w:val="21"/>
                <w:lang w:eastAsia="zh-CN"/>
              </w:rPr>
            </w:pP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eastAsia="zh-CN"/>
              </w:rPr>
              <w:t>归集点整洁</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10</w:t>
            </w:r>
          </w:p>
        </w:tc>
        <w:tc>
          <w:tcPr>
            <w:tcW w:w="3600"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归集环境整洁有序。</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1.垃圾满溢、超高的，扣5分；</w:t>
            </w:r>
          </w:p>
          <w:p>
            <w:pPr>
              <w:spacing w:after="0" w:line="300" w:lineRule="exact"/>
              <w:jc w:val="left"/>
              <w:rPr>
                <w:rFonts w:hint="eastAsia"/>
                <w:sz w:val="21"/>
                <w:szCs w:val="21"/>
                <w:lang w:val="en-US" w:eastAsia="zh-CN"/>
              </w:rPr>
            </w:pPr>
            <w:r>
              <w:rPr>
                <w:rFonts w:hint="eastAsia"/>
                <w:sz w:val="21"/>
                <w:szCs w:val="21"/>
                <w:lang w:val="en-US" w:eastAsia="zh-CN"/>
              </w:rPr>
              <w:t>2.周边地面不洁的，扣3分；</w:t>
            </w:r>
          </w:p>
          <w:p>
            <w:pPr>
              <w:spacing w:after="0" w:line="300" w:lineRule="exact"/>
              <w:jc w:val="left"/>
              <w:rPr>
                <w:rFonts w:hint="eastAsia"/>
                <w:sz w:val="21"/>
                <w:szCs w:val="21"/>
                <w:lang w:val="en-US" w:eastAsia="zh-CN"/>
              </w:rPr>
            </w:pPr>
            <w:r>
              <w:rPr>
                <w:rFonts w:hint="eastAsia"/>
                <w:sz w:val="21"/>
                <w:szCs w:val="21"/>
                <w:lang w:val="en-US" w:eastAsia="zh-CN"/>
              </w:rPr>
              <w:t>3.投放容器摆放凌乱的，扣3分；</w:t>
            </w:r>
          </w:p>
          <w:p>
            <w:pPr>
              <w:spacing w:after="0" w:line="300" w:lineRule="exact"/>
              <w:jc w:val="left"/>
              <w:rPr>
                <w:rFonts w:hint="eastAsia"/>
                <w:sz w:val="21"/>
                <w:szCs w:val="21"/>
                <w:lang w:val="en-US" w:eastAsia="zh-CN"/>
              </w:rPr>
            </w:pPr>
            <w:r>
              <w:rPr>
                <w:rFonts w:hint="eastAsia"/>
                <w:sz w:val="21"/>
                <w:szCs w:val="21"/>
                <w:lang w:val="en-US" w:eastAsia="zh-CN"/>
              </w:rPr>
              <w:t>4.投放容器桶盖未盖的，扣2分。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spacing w:after="0" w:line="300" w:lineRule="exact"/>
              <w:jc w:val="center"/>
              <w:rPr>
                <w:rFonts w:hint="eastAsia"/>
                <w:sz w:val="21"/>
                <w:szCs w:val="21"/>
                <w:lang w:eastAsia="zh-CN"/>
              </w:rPr>
            </w:pPr>
            <w:r>
              <w:rPr>
                <w:rFonts w:hint="eastAsia"/>
                <w:sz w:val="21"/>
                <w:szCs w:val="21"/>
                <w:lang w:eastAsia="zh-CN"/>
              </w:rPr>
              <w:t>点位设置规范</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15分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归集点内部设置</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10</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归集点一律设置在小区内部，严禁沿街归集、摆放投放容器。</w:t>
            </w:r>
          </w:p>
        </w:tc>
        <w:tc>
          <w:tcPr>
            <w:tcW w:w="6301" w:type="dxa"/>
            <w:noWrap w:val="0"/>
            <w:vAlign w:val="center"/>
          </w:tcPr>
          <w:p>
            <w:pPr>
              <w:spacing w:after="0" w:line="300" w:lineRule="exact"/>
              <w:jc w:val="left"/>
              <w:rPr>
                <w:rFonts w:hint="eastAsia"/>
                <w:sz w:val="21"/>
                <w:szCs w:val="21"/>
                <w:lang w:eastAsia="zh-CN"/>
              </w:rPr>
            </w:pPr>
            <w:r>
              <w:rPr>
                <w:rFonts w:hint="eastAsia"/>
                <w:sz w:val="21"/>
                <w:szCs w:val="21"/>
                <w:lang w:eastAsia="zh-CN"/>
              </w:rPr>
              <w:t>未达到要求的，不得分。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spacing w:after="0" w:line="300" w:lineRule="exact"/>
              <w:jc w:val="center"/>
              <w:rPr>
                <w:rFonts w:hint="eastAsia"/>
                <w:sz w:val="21"/>
                <w:szCs w:val="21"/>
                <w:lang w:eastAsia="zh-CN"/>
              </w:rPr>
            </w:pP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其他点位规范</w:t>
            </w:r>
          </w:p>
        </w:tc>
        <w:tc>
          <w:tcPr>
            <w:tcW w:w="873"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规范设置生活垃圾投放点、清洗点。</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未规范设置投放点、清洗点的，每处扣2分。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spacing w:after="0" w:line="300" w:lineRule="exact"/>
              <w:jc w:val="center"/>
              <w:rPr>
                <w:rFonts w:hint="eastAsia"/>
                <w:sz w:val="21"/>
                <w:szCs w:val="21"/>
                <w:lang w:eastAsia="zh-CN"/>
              </w:rPr>
            </w:pPr>
            <w:r>
              <w:rPr>
                <w:rFonts w:hint="eastAsia"/>
                <w:sz w:val="21"/>
                <w:szCs w:val="21"/>
                <w:lang w:eastAsia="zh-CN"/>
              </w:rPr>
              <w:t>投放引导规范</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10分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定时定点投放</w:t>
            </w:r>
          </w:p>
        </w:tc>
        <w:tc>
          <w:tcPr>
            <w:tcW w:w="873" w:type="dxa"/>
            <w:noWrap w:val="0"/>
            <w:vAlign w:val="center"/>
          </w:tcPr>
          <w:p>
            <w:pPr>
              <w:spacing w:after="0" w:line="300" w:lineRule="exact"/>
              <w:jc w:val="center"/>
              <w:rPr>
                <w:rFonts w:hint="eastAsia"/>
                <w:sz w:val="21"/>
                <w:szCs w:val="21"/>
                <w:lang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强化“定时定点”投放，管理规范。</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1.未实施定时定点投放或定时定点不规范的，不得分；</w:t>
            </w:r>
          </w:p>
          <w:p>
            <w:pPr>
              <w:spacing w:after="0" w:line="300" w:lineRule="exact"/>
              <w:jc w:val="left"/>
              <w:rPr>
                <w:rFonts w:hint="eastAsia"/>
                <w:sz w:val="21"/>
                <w:szCs w:val="21"/>
                <w:lang w:val="en-US" w:eastAsia="zh-CN"/>
              </w:rPr>
            </w:pPr>
            <w:r>
              <w:rPr>
                <w:rFonts w:hint="eastAsia"/>
                <w:sz w:val="21"/>
                <w:szCs w:val="21"/>
                <w:lang w:val="en-US" w:eastAsia="zh-CN"/>
              </w:rPr>
              <w:t>2.未规范公示定时投放时间等信息，扣1分；</w:t>
            </w:r>
          </w:p>
          <w:p>
            <w:pPr>
              <w:spacing w:after="0" w:line="300" w:lineRule="exact"/>
              <w:jc w:val="left"/>
              <w:rPr>
                <w:rFonts w:hint="eastAsia"/>
                <w:sz w:val="21"/>
                <w:szCs w:val="21"/>
                <w:lang w:val="en-US" w:eastAsia="zh-CN"/>
              </w:rPr>
            </w:pPr>
            <w:r>
              <w:rPr>
                <w:rFonts w:hint="eastAsia"/>
                <w:sz w:val="21"/>
                <w:szCs w:val="21"/>
                <w:lang w:val="en-US" w:eastAsia="zh-CN"/>
              </w:rPr>
              <w:t>3.定时定点时间与实际不符的，扣2分。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spacing w:after="0" w:line="300" w:lineRule="exact"/>
              <w:jc w:val="center"/>
              <w:rPr>
                <w:rFonts w:hint="eastAsia"/>
                <w:sz w:val="21"/>
                <w:szCs w:val="21"/>
                <w:lang w:eastAsia="zh-CN"/>
              </w:rPr>
            </w:pP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eastAsia="zh-CN"/>
              </w:rPr>
              <w:t>增加开放时间</w:t>
            </w:r>
          </w:p>
        </w:tc>
        <w:tc>
          <w:tcPr>
            <w:tcW w:w="873" w:type="dxa"/>
            <w:noWrap w:val="0"/>
            <w:vAlign w:val="center"/>
          </w:tcPr>
          <w:p>
            <w:pPr>
              <w:spacing w:after="0" w:line="300" w:lineRule="exact"/>
              <w:jc w:val="center"/>
              <w:rPr>
                <w:rFonts w:hint="eastAsia"/>
                <w:sz w:val="21"/>
                <w:szCs w:val="21"/>
                <w:lang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落实节假日、周末午间投放时段等各类人性化措施。</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1.未落实周末、节假日午间段投放的，不得分；</w:t>
            </w:r>
          </w:p>
          <w:p>
            <w:pPr>
              <w:spacing w:after="0" w:line="300" w:lineRule="exact"/>
              <w:jc w:val="left"/>
              <w:rPr>
                <w:rFonts w:hint="eastAsia"/>
                <w:sz w:val="21"/>
                <w:szCs w:val="21"/>
                <w:lang w:val="en-US" w:eastAsia="zh-CN"/>
              </w:rPr>
            </w:pPr>
            <w:r>
              <w:rPr>
                <w:rFonts w:hint="eastAsia"/>
                <w:sz w:val="21"/>
                <w:szCs w:val="21"/>
                <w:lang w:val="en-US" w:eastAsia="zh-CN"/>
              </w:rPr>
              <w:t>2.未规范公示午间投放时间等信息，扣1分。</w:t>
            </w:r>
          </w:p>
          <w:p>
            <w:pPr>
              <w:spacing w:after="0" w:line="300" w:lineRule="exact"/>
              <w:jc w:val="left"/>
              <w:rPr>
                <w:rFonts w:hint="eastAsia"/>
                <w:sz w:val="21"/>
                <w:szCs w:val="21"/>
                <w:lang w:val="en-US" w:eastAsia="zh-CN"/>
              </w:rPr>
            </w:pPr>
            <w:r>
              <w:rPr>
                <w:rFonts w:hint="eastAsia"/>
                <w:sz w:val="21"/>
                <w:szCs w:val="21"/>
                <w:lang w:val="en-US" w:eastAsia="zh-CN"/>
              </w:rPr>
              <w:t>3.午间投放时间与实际不符的，扣2分。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spacing w:after="0" w:line="300" w:lineRule="exact"/>
              <w:jc w:val="center"/>
              <w:rPr>
                <w:rFonts w:hint="eastAsia"/>
                <w:sz w:val="21"/>
                <w:szCs w:val="21"/>
                <w:lang w:eastAsia="zh-CN"/>
              </w:rPr>
            </w:pPr>
            <w:r>
              <w:rPr>
                <w:rFonts w:hint="eastAsia"/>
                <w:sz w:val="21"/>
                <w:szCs w:val="21"/>
                <w:lang w:eastAsia="zh-CN"/>
              </w:rPr>
              <w:t>装修（大件、绿化）垃圾管理规范（</w:t>
            </w:r>
            <w:r>
              <w:rPr>
                <w:rFonts w:hint="eastAsia"/>
                <w:sz w:val="21"/>
                <w:szCs w:val="21"/>
                <w:lang w:val="en-US" w:eastAsia="zh-CN"/>
              </w:rPr>
              <w:t>5分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点位设置规范</w:t>
            </w:r>
          </w:p>
        </w:tc>
        <w:tc>
          <w:tcPr>
            <w:tcW w:w="873" w:type="dxa"/>
            <w:vMerge w:val="restart"/>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5</w:t>
            </w:r>
          </w:p>
        </w:tc>
        <w:tc>
          <w:tcPr>
            <w:tcW w:w="3600" w:type="dxa"/>
            <w:vMerge w:val="restart"/>
            <w:noWrap w:val="0"/>
            <w:vAlign w:val="center"/>
          </w:tcPr>
          <w:p>
            <w:pPr>
              <w:spacing w:after="0" w:line="300" w:lineRule="exact"/>
              <w:jc w:val="left"/>
              <w:rPr>
                <w:rFonts w:hint="eastAsia"/>
                <w:sz w:val="21"/>
                <w:szCs w:val="21"/>
                <w:lang w:eastAsia="zh-CN"/>
              </w:rPr>
            </w:pPr>
            <w:r>
              <w:rPr>
                <w:rFonts w:hint="eastAsia"/>
                <w:sz w:val="21"/>
                <w:szCs w:val="21"/>
                <w:lang w:eastAsia="zh-CN"/>
              </w:rPr>
              <w:t>装修（大件、绿化）垃圾点位规范化管理，环境整洁有序。</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设置</w:t>
            </w:r>
            <w:r>
              <w:rPr>
                <w:rFonts w:hint="eastAsia"/>
                <w:sz w:val="21"/>
                <w:szCs w:val="21"/>
                <w:lang w:eastAsia="zh-CN"/>
              </w:rPr>
              <w:t>装修（大件、绿化）垃圾投放点的扣分项：</w:t>
            </w:r>
          </w:p>
          <w:p>
            <w:pPr>
              <w:spacing w:after="0" w:line="300" w:lineRule="exact"/>
              <w:jc w:val="left"/>
              <w:rPr>
                <w:rFonts w:hint="eastAsia"/>
                <w:sz w:val="21"/>
                <w:szCs w:val="21"/>
                <w:lang w:val="en-US" w:eastAsia="zh-CN"/>
              </w:rPr>
            </w:pPr>
            <w:r>
              <w:rPr>
                <w:rFonts w:hint="eastAsia"/>
                <w:sz w:val="21"/>
                <w:szCs w:val="21"/>
                <w:lang w:val="en-US" w:eastAsia="zh-CN"/>
              </w:rPr>
              <w:t>1.点位</w:t>
            </w:r>
            <w:r>
              <w:rPr>
                <w:rFonts w:hint="eastAsia"/>
                <w:sz w:val="21"/>
                <w:szCs w:val="21"/>
                <w:lang w:eastAsia="zh-CN"/>
              </w:rPr>
              <w:t>脏乱、破损的，扣</w:t>
            </w:r>
            <w:r>
              <w:rPr>
                <w:rFonts w:hint="eastAsia"/>
                <w:sz w:val="21"/>
                <w:szCs w:val="21"/>
                <w:lang w:val="en-US" w:eastAsia="zh-CN"/>
              </w:rPr>
              <w:t>1分；</w:t>
            </w:r>
          </w:p>
          <w:p>
            <w:pPr>
              <w:spacing w:after="0" w:line="300" w:lineRule="exact"/>
              <w:jc w:val="left"/>
              <w:rPr>
                <w:rFonts w:hint="eastAsia"/>
                <w:sz w:val="21"/>
                <w:szCs w:val="21"/>
                <w:lang w:eastAsia="zh-CN"/>
              </w:rPr>
            </w:pPr>
            <w:r>
              <w:rPr>
                <w:rFonts w:hint="eastAsia"/>
                <w:sz w:val="21"/>
                <w:szCs w:val="21"/>
                <w:lang w:val="en-US" w:eastAsia="zh-CN"/>
              </w:rPr>
              <w:t>2.各类垃圾</w:t>
            </w:r>
            <w:r>
              <w:rPr>
                <w:rFonts w:hint="eastAsia"/>
                <w:sz w:val="21"/>
                <w:szCs w:val="21"/>
                <w:lang w:eastAsia="zh-CN"/>
              </w:rPr>
              <w:t>堆放超过围挡高度的，扣</w:t>
            </w:r>
            <w:r>
              <w:rPr>
                <w:rFonts w:hint="eastAsia"/>
                <w:sz w:val="21"/>
                <w:szCs w:val="21"/>
                <w:lang w:val="en-US" w:eastAsia="zh-CN"/>
              </w:rPr>
              <w:t>1</w:t>
            </w:r>
            <w:r>
              <w:rPr>
                <w:rFonts w:hint="eastAsia"/>
                <w:sz w:val="21"/>
                <w:szCs w:val="21"/>
                <w:lang w:eastAsia="zh-CN"/>
              </w:rPr>
              <w:t>分；</w:t>
            </w:r>
          </w:p>
          <w:p>
            <w:pPr>
              <w:spacing w:after="0" w:line="300" w:lineRule="exact"/>
              <w:jc w:val="left"/>
              <w:rPr>
                <w:rFonts w:hint="eastAsia"/>
                <w:sz w:val="21"/>
                <w:szCs w:val="21"/>
                <w:lang w:val="en-US" w:eastAsia="zh-CN"/>
              </w:rPr>
            </w:pPr>
            <w:r>
              <w:rPr>
                <w:rFonts w:hint="eastAsia"/>
                <w:sz w:val="21"/>
                <w:szCs w:val="21"/>
                <w:lang w:val="en-US" w:eastAsia="zh-CN"/>
              </w:rPr>
              <w:t>3.</w:t>
            </w:r>
            <w:r>
              <w:rPr>
                <w:rFonts w:hint="eastAsia"/>
                <w:sz w:val="21"/>
                <w:szCs w:val="21"/>
                <w:lang w:eastAsia="zh-CN"/>
              </w:rPr>
              <w:t>未实施密闭的，扣</w:t>
            </w:r>
            <w:r>
              <w:rPr>
                <w:rFonts w:hint="eastAsia"/>
                <w:sz w:val="21"/>
                <w:szCs w:val="21"/>
                <w:lang w:val="en-US" w:eastAsia="zh-CN"/>
              </w:rPr>
              <w:t>1分；</w:t>
            </w:r>
          </w:p>
          <w:p>
            <w:pPr>
              <w:spacing w:after="0" w:line="300" w:lineRule="exact"/>
              <w:jc w:val="left"/>
              <w:rPr>
                <w:rFonts w:hint="eastAsia"/>
                <w:sz w:val="21"/>
                <w:szCs w:val="21"/>
                <w:lang w:eastAsia="zh-CN"/>
              </w:rPr>
            </w:pPr>
            <w:r>
              <w:rPr>
                <w:rFonts w:hint="eastAsia"/>
                <w:sz w:val="21"/>
                <w:szCs w:val="21"/>
                <w:lang w:val="en-US" w:eastAsia="zh-CN"/>
              </w:rPr>
              <w:t>4.三类垃圾未</w:t>
            </w:r>
            <w:r>
              <w:rPr>
                <w:rFonts w:hint="eastAsia"/>
                <w:sz w:val="21"/>
                <w:szCs w:val="21"/>
                <w:lang w:eastAsia="zh-CN"/>
              </w:rPr>
              <w:t>隔断的，扣</w:t>
            </w:r>
            <w:r>
              <w:rPr>
                <w:rFonts w:hint="eastAsia"/>
                <w:sz w:val="21"/>
                <w:szCs w:val="21"/>
                <w:lang w:val="en-US" w:eastAsia="zh-CN"/>
              </w:rPr>
              <w:t>0.5</w:t>
            </w:r>
            <w:r>
              <w:rPr>
                <w:rFonts w:hint="eastAsia"/>
                <w:sz w:val="21"/>
                <w:szCs w:val="21"/>
                <w:lang w:eastAsia="zh-CN"/>
              </w:rPr>
              <w:t>分；</w:t>
            </w:r>
          </w:p>
          <w:p>
            <w:pPr>
              <w:spacing w:after="0" w:line="300" w:lineRule="exact"/>
              <w:jc w:val="left"/>
              <w:rPr>
                <w:rFonts w:hint="eastAsia"/>
                <w:sz w:val="21"/>
                <w:szCs w:val="21"/>
                <w:lang w:eastAsia="zh-CN"/>
              </w:rPr>
            </w:pPr>
            <w:r>
              <w:rPr>
                <w:rFonts w:hint="eastAsia"/>
                <w:sz w:val="21"/>
                <w:szCs w:val="21"/>
                <w:lang w:val="en-US" w:eastAsia="zh-CN"/>
              </w:rPr>
              <w:t>5.</w:t>
            </w:r>
            <w:r>
              <w:rPr>
                <w:rFonts w:hint="eastAsia"/>
                <w:sz w:val="21"/>
                <w:szCs w:val="21"/>
                <w:lang w:eastAsia="zh-CN"/>
              </w:rPr>
              <w:t>污水未纳管，扣</w:t>
            </w:r>
            <w:r>
              <w:rPr>
                <w:rFonts w:hint="eastAsia"/>
                <w:sz w:val="21"/>
                <w:szCs w:val="21"/>
                <w:lang w:val="en-US" w:eastAsia="zh-CN"/>
              </w:rPr>
              <w:t>1</w:t>
            </w:r>
            <w:r>
              <w:rPr>
                <w:rFonts w:hint="eastAsia"/>
                <w:sz w:val="21"/>
                <w:szCs w:val="21"/>
                <w:lang w:eastAsia="zh-CN"/>
              </w:rPr>
              <w:t>分；</w:t>
            </w:r>
          </w:p>
          <w:p>
            <w:pPr>
              <w:spacing w:after="0" w:line="300" w:lineRule="exact"/>
              <w:jc w:val="left"/>
              <w:rPr>
                <w:rFonts w:hint="eastAsia"/>
                <w:sz w:val="21"/>
                <w:szCs w:val="21"/>
                <w:lang w:eastAsia="zh-CN"/>
              </w:rPr>
            </w:pPr>
            <w:r>
              <w:rPr>
                <w:rFonts w:hint="eastAsia"/>
                <w:sz w:val="21"/>
                <w:szCs w:val="21"/>
                <w:lang w:val="en-US" w:eastAsia="zh-CN"/>
              </w:rPr>
              <w:t>6.</w:t>
            </w:r>
            <w:r>
              <w:rPr>
                <w:rFonts w:hint="eastAsia"/>
                <w:sz w:val="21"/>
                <w:szCs w:val="21"/>
                <w:lang w:eastAsia="zh-CN"/>
              </w:rPr>
              <w:t>装修垃圾未袋装或捆绑投放，扣</w:t>
            </w:r>
            <w:r>
              <w:rPr>
                <w:rFonts w:hint="eastAsia"/>
                <w:sz w:val="21"/>
                <w:szCs w:val="21"/>
                <w:lang w:val="en-US" w:eastAsia="zh-CN"/>
              </w:rPr>
              <w:t>0.5</w:t>
            </w:r>
            <w:r>
              <w:rPr>
                <w:rFonts w:hint="eastAsia"/>
                <w:sz w:val="21"/>
                <w:szCs w:val="21"/>
                <w:lang w:eastAsia="zh-CN"/>
              </w:rPr>
              <w:t>分；</w:t>
            </w:r>
          </w:p>
          <w:p>
            <w:pPr>
              <w:spacing w:after="0" w:line="300" w:lineRule="exact"/>
              <w:jc w:val="left"/>
              <w:rPr>
                <w:rFonts w:hint="eastAsia"/>
                <w:sz w:val="21"/>
                <w:szCs w:val="21"/>
                <w:lang w:eastAsia="zh-CN"/>
              </w:rPr>
            </w:pPr>
            <w:r>
              <w:rPr>
                <w:rFonts w:hint="eastAsia"/>
                <w:sz w:val="21"/>
                <w:szCs w:val="21"/>
                <w:lang w:val="en-US" w:eastAsia="zh-CN"/>
              </w:rPr>
              <w:t>7</w:t>
            </w:r>
            <w:r>
              <w:rPr>
                <w:rFonts w:hint="eastAsia"/>
                <w:sz w:val="21"/>
                <w:szCs w:val="21"/>
                <w:lang w:eastAsia="zh-CN"/>
              </w:rPr>
              <w:t>.未公示收运信息或信息不全，扣</w:t>
            </w:r>
            <w:r>
              <w:rPr>
                <w:rFonts w:hint="eastAsia"/>
                <w:sz w:val="21"/>
                <w:szCs w:val="21"/>
                <w:lang w:val="en-US" w:eastAsia="zh-CN"/>
              </w:rPr>
              <w:t>0.5</w:t>
            </w:r>
            <w:r>
              <w:rPr>
                <w:rFonts w:hint="eastAsia"/>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spacing w:after="0" w:line="300" w:lineRule="exact"/>
              <w:jc w:val="center"/>
              <w:rPr>
                <w:rFonts w:hint="eastAsia"/>
                <w:sz w:val="21"/>
                <w:szCs w:val="21"/>
                <w:lang w:eastAsia="zh-CN"/>
              </w:rPr>
            </w:pP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预约制收集规范</w:t>
            </w:r>
          </w:p>
        </w:tc>
        <w:tc>
          <w:tcPr>
            <w:tcW w:w="873" w:type="dxa"/>
            <w:vMerge w:val="continue"/>
            <w:noWrap w:val="0"/>
            <w:vAlign w:val="center"/>
          </w:tcPr>
          <w:p>
            <w:pPr>
              <w:spacing w:after="0" w:line="300" w:lineRule="exact"/>
              <w:jc w:val="center"/>
              <w:rPr>
                <w:rFonts w:hint="eastAsia"/>
                <w:sz w:val="21"/>
                <w:szCs w:val="21"/>
                <w:lang w:val="en-US" w:eastAsia="zh-CN"/>
              </w:rPr>
            </w:pPr>
          </w:p>
        </w:tc>
        <w:tc>
          <w:tcPr>
            <w:tcW w:w="3600" w:type="dxa"/>
            <w:vMerge w:val="continue"/>
            <w:noWrap w:val="0"/>
            <w:vAlign w:val="center"/>
          </w:tcPr>
          <w:p>
            <w:pPr>
              <w:spacing w:after="0" w:line="300" w:lineRule="exact"/>
              <w:jc w:val="left"/>
              <w:rPr>
                <w:rFonts w:hint="eastAsia"/>
                <w:sz w:val="21"/>
                <w:szCs w:val="21"/>
                <w:lang w:eastAsia="zh-CN"/>
              </w:rPr>
            </w:pPr>
          </w:p>
        </w:tc>
        <w:tc>
          <w:tcPr>
            <w:tcW w:w="6301" w:type="dxa"/>
            <w:noWrap w:val="0"/>
            <w:vAlign w:val="center"/>
          </w:tcPr>
          <w:p>
            <w:pPr>
              <w:spacing w:after="0" w:line="300" w:lineRule="exact"/>
              <w:jc w:val="left"/>
              <w:rPr>
                <w:rFonts w:hint="eastAsia"/>
                <w:sz w:val="21"/>
                <w:szCs w:val="21"/>
                <w:lang w:eastAsia="zh-CN"/>
              </w:rPr>
            </w:pPr>
            <w:r>
              <w:rPr>
                <w:rFonts w:hint="eastAsia"/>
                <w:sz w:val="21"/>
                <w:szCs w:val="21"/>
                <w:lang w:eastAsia="zh-CN"/>
              </w:rPr>
              <w:t>实行预约收集管理的扣分项：</w:t>
            </w:r>
          </w:p>
          <w:p>
            <w:pPr>
              <w:spacing w:after="0" w:line="300" w:lineRule="exact"/>
              <w:jc w:val="left"/>
              <w:rPr>
                <w:rFonts w:hint="eastAsia"/>
                <w:sz w:val="21"/>
                <w:szCs w:val="21"/>
                <w:lang w:eastAsia="zh-CN"/>
              </w:rPr>
            </w:pPr>
            <w:r>
              <w:rPr>
                <w:rFonts w:hint="eastAsia"/>
                <w:sz w:val="21"/>
                <w:szCs w:val="21"/>
                <w:lang w:val="en-US" w:eastAsia="zh-CN"/>
              </w:rPr>
              <w:t>1.</w:t>
            </w:r>
            <w:r>
              <w:rPr>
                <w:rFonts w:hint="eastAsia"/>
                <w:sz w:val="21"/>
                <w:szCs w:val="21"/>
                <w:lang w:eastAsia="zh-CN"/>
              </w:rPr>
              <w:t>装修（大件、绿化）垃圾随意堆放的，不得分；</w:t>
            </w:r>
          </w:p>
          <w:p>
            <w:pPr>
              <w:spacing w:after="0" w:line="300" w:lineRule="exact"/>
              <w:jc w:val="left"/>
              <w:rPr>
                <w:rFonts w:hint="eastAsia"/>
                <w:sz w:val="21"/>
                <w:szCs w:val="21"/>
                <w:lang w:eastAsia="zh-CN"/>
              </w:rPr>
            </w:pPr>
            <w:r>
              <w:rPr>
                <w:rFonts w:hint="eastAsia"/>
                <w:sz w:val="21"/>
                <w:szCs w:val="21"/>
                <w:lang w:val="en-US" w:eastAsia="zh-CN"/>
              </w:rPr>
              <w:t>2</w:t>
            </w:r>
            <w:r>
              <w:rPr>
                <w:rFonts w:hint="eastAsia"/>
                <w:sz w:val="21"/>
                <w:szCs w:val="21"/>
                <w:lang w:eastAsia="zh-CN"/>
              </w:rPr>
              <w:t>.未公示收运信息或信息不全，扣</w:t>
            </w:r>
            <w:r>
              <w:rPr>
                <w:rFonts w:hint="eastAsia"/>
                <w:sz w:val="21"/>
                <w:szCs w:val="21"/>
                <w:lang w:val="en-US" w:eastAsia="zh-CN"/>
              </w:rPr>
              <w:t>3</w:t>
            </w:r>
            <w:r>
              <w:rPr>
                <w:rFonts w:hint="eastAsia"/>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center"/>
          </w:tcPr>
          <w:p>
            <w:pPr>
              <w:spacing w:after="0" w:line="300" w:lineRule="exact"/>
              <w:jc w:val="center"/>
              <w:rPr>
                <w:rFonts w:hint="eastAsia"/>
                <w:sz w:val="21"/>
                <w:szCs w:val="21"/>
                <w:lang w:eastAsia="zh-CN"/>
              </w:rPr>
            </w:pPr>
            <w:r>
              <w:rPr>
                <w:rFonts w:hint="eastAsia"/>
                <w:sz w:val="21"/>
                <w:szCs w:val="21"/>
                <w:lang w:eastAsia="zh-CN"/>
              </w:rPr>
              <w:t>宣传氛围浓厚</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5分</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eastAsia="zh-CN"/>
              </w:rPr>
            </w:pPr>
            <w:r>
              <w:rPr>
                <w:rFonts w:hint="eastAsia"/>
                <w:sz w:val="21"/>
                <w:szCs w:val="21"/>
                <w:lang w:val="en-US" w:eastAsia="zh-CN"/>
              </w:rPr>
              <w:t>/</w:t>
            </w:r>
          </w:p>
        </w:tc>
        <w:tc>
          <w:tcPr>
            <w:tcW w:w="873" w:type="dxa"/>
            <w:noWrap w:val="0"/>
            <w:vAlign w:val="center"/>
          </w:tcPr>
          <w:p>
            <w:pPr>
              <w:spacing w:after="0" w:line="300" w:lineRule="exact"/>
              <w:jc w:val="center"/>
              <w:rPr>
                <w:rFonts w:hint="eastAsia"/>
                <w:sz w:val="21"/>
                <w:szCs w:val="21"/>
                <w:lang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val="en-US" w:eastAsia="zh-CN"/>
              </w:rPr>
              <w:t>场景化营造垃圾分类宣传氛围。</w:t>
            </w:r>
          </w:p>
        </w:tc>
        <w:tc>
          <w:tcPr>
            <w:tcW w:w="6301" w:type="dxa"/>
            <w:noWrap w:val="0"/>
            <w:vAlign w:val="center"/>
          </w:tcPr>
          <w:p>
            <w:pPr>
              <w:spacing w:after="0" w:line="300" w:lineRule="exact"/>
              <w:jc w:val="left"/>
              <w:rPr>
                <w:rFonts w:hint="eastAsia"/>
                <w:sz w:val="21"/>
                <w:szCs w:val="21"/>
                <w:lang w:val="en-US" w:eastAsia="zh-CN"/>
              </w:rPr>
            </w:pPr>
            <w:r>
              <w:rPr>
                <w:rFonts w:hint="eastAsia"/>
                <w:sz w:val="21"/>
                <w:szCs w:val="21"/>
                <w:lang w:val="en-US" w:eastAsia="zh-CN"/>
              </w:rPr>
              <w:t>1.未设置点位图、基础知识图、专管员信息的，扣3分</w:t>
            </w:r>
          </w:p>
          <w:p>
            <w:pPr>
              <w:spacing w:after="0" w:line="300" w:lineRule="exact"/>
              <w:jc w:val="left"/>
              <w:rPr>
                <w:rFonts w:hint="eastAsia"/>
                <w:sz w:val="21"/>
                <w:szCs w:val="21"/>
                <w:lang w:val="en-US" w:eastAsia="zh-CN"/>
              </w:rPr>
            </w:pPr>
            <w:r>
              <w:rPr>
                <w:rFonts w:hint="eastAsia"/>
                <w:sz w:val="21"/>
                <w:szCs w:val="21"/>
                <w:lang w:val="en-US" w:eastAsia="zh-CN"/>
              </w:rPr>
              <w:t>2.宣传内容错误、缺失、遮挡、外观破损老旧的，扣2分；</w:t>
            </w:r>
          </w:p>
          <w:p>
            <w:pPr>
              <w:spacing w:after="0" w:line="300" w:lineRule="exact"/>
              <w:jc w:val="left"/>
              <w:rPr>
                <w:rFonts w:hint="eastAsia"/>
                <w:sz w:val="21"/>
                <w:szCs w:val="21"/>
                <w:lang w:val="en-US" w:eastAsia="zh-CN"/>
              </w:rPr>
            </w:pPr>
            <w:r>
              <w:rPr>
                <w:rFonts w:hint="eastAsia"/>
                <w:sz w:val="21"/>
                <w:szCs w:val="21"/>
                <w:lang w:val="en-US" w:eastAsia="zh-CN"/>
              </w:rPr>
              <w:t>3.点位图与实际不符的，扣1分；</w:t>
            </w:r>
          </w:p>
          <w:p>
            <w:pPr>
              <w:spacing w:after="0" w:line="300" w:lineRule="exact"/>
              <w:jc w:val="left"/>
              <w:rPr>
                <w:rFonts w:hint="eastAsia"/>
                <w:sz w:val="21"/>
                <w:szCs w:val="21"/>
                <w:lang w:eastAsia="zh-CN"/>
              </w:rPr>
            </w:pPr>
            <w:r>
              <w:rPr>
                <w:rFonts w:hint="eastAsia"/>
                <w:sz w:val="21"/>
                <w:szCs w:val="21"/>
                <w:lang w:val="en-US" w:eastAsia="zh-CN"/>
              </w:rPr>
              <w:t>4.宣传制品未与“两点一房”场景化布置的，扣2分。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center"/>
          </w:tcPr>
          <w:p>
            <w:pPr>
              <w:spacing w:after="0" w:line="300" w:lineRule="exact"/>
              <w:jc w:val="center"/>
              <w:rPr>
                <w:rFonts w:hint="eastAsia"/>
                <w:sz w:val="21"/>
                <w:szCs w:val="21"/>
                <w:lang w:eastAsia="zh-CN"/>
              </w:rPr>
            </w:pPr>
            <w:r>
              <w:rPr>
                <w:rFonts w:hint="eastAsia"/>
                <w:sz w:val="21"/>
                <w:szCs w:val="21"/>
                <w:lang w:eastAsia="zh-CN"/>
              </w:rPr>
              <w:t>分类收集规范</w:t>
            </w:r>
          </w:p>
          <w:p>
            <w:pPr>
              <w:spacing w:after="0" w:line="3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5</w:t>
            </w:r>
            <w:r>
              <w:rPr>
                <w:rFonts w:hint="eastAsia"/>
                <w:sz w:val="21"/>
                <w:szCs w:val="21"/>
                <w:lang w:eastAsia="zh-CN"/>
              </w:rPr>
              <w:t>）</w:t>
            </w:r>
          </w:p>
        </w:tc>
        <w:tc>
          <w:tcPr>
            <w:tcW w:w="1580" w:type="dxa"/>
            <w:noWrap w:val="0"/>
            <w:vAlign w:val="center"/>
          </w:tcPr>
          <w:p>
            <w:pPr>
              <w:spacing w:after="0" w:line="300" w:lineRule="exact"/>
              <w:jc w:val="center"/>
              <w:rPr>
                <w:rFonts w:hint="eastAsia"/>
                <w:sz w:val="21"/>
                <w:szCs w:val="21"/>
                <w:lang w:val="en-US" w:eastAsia="zh-CN"/>
              </w:rPr>
            </w:pPr>
            <w:r>
              <w:rPr>
                <w:rFonts w:hint="eastAsia"/>
                <w:sz w:val="21"/>
                <w:szCs w:val="21"/>
                <w:lang w:val="en-US" w:eastAsia="zh-CN"/>
              </w:rPr>
              <w:t>/</w:t>
            </w:r>
          </w:p>
        </w:tc>
        <w:tc>
          <w:tcPr>
            <w:tcW w:w="873" w:type="dxa"/>
            <w:noWrap w:val="0"/>
            <w:vAlign w:val="center"/>
          </w:tcPr>
          <w:p>
            <w:pPr>
              <w:spacing w:after="0" w:line="300" w:lineRule="exact"/>
              <w:jc w:val="center"/>
              <w:rPr>
                <w:rFonts w:hint="eastAsia"/>
                <w:sz w:val="21"/>
                <w:szCs w:val="21"/>
                <w:lang w:eastAsia="zh-CN"/>
              </w:rPr>
            </w:pPr>
            <w:r>
              <w:rPr>
                <w:rFonts w:hint="eastAsia"/>
                <w:sz w:val="21"/>
                <w:szCs w:val="21"/>
                <w:lang w:val="en-US" w:eastAsia="zh-CN"/>
              </w:rPr>
              <w:t>5</w:t>
            </w:r>
          </w:p>
        </w:tc>
        <w:tc>
          <w:tcPr>
            <w:tcW w:w="3600" w:type="dxa"/>
            <w:noWrap w:val="0"/>
            <w:vAlign w:val="center"/>
          </w:tcPr>
          <w:p>
            <w:pPr>
              <w:spacing w:after="0" w:line="300" w:lineRule="exact"/>
              <w:jc w:val="left"/>
              <w:rPr>
                <w:rFonts w:hint="eastAsia"/>
                <w:sz w:val="21"/>
                <w:szCs w:val="21"/>
                <w:lang w:eastAsia="zh-CN"/>
              </w:rPr>
            </w:pPr>
            <w:r>
              <w:rPr>
                <w:rFonts w:hint="eastAsia"/>
                <w:sz w:val="21"/>
                <w:szCs w:val="21"/>
                <w:lang w:eastAsia="zh-CN"/>
              </w:rPr>
              <w:t>垃圾分类管理责任人规范收集。</w:t>
            </w:r>
          </w:p>
        </w:tc>
        <w:tc>
          <w:tcPr>
            <w:tcW w:w="6301" w:type="dxa"/>
            <w:noWrap w:val="0"/>
            <w:vAlign w:val="center"/>
          </w:tcPr>
          <w:p>
            <w:pPr>
              <w:spacing w:after="0" w:line="300" w:lineRule="exact"/>
              <w:jc w:val="left"/>
              <w:rPr>
                <w:rFonts w:hint="eastAsia"/>
                <w:sz w:val="21"/>
                <w:szCs w:val="21"/>
                <w:lang w:eastAsia="zh-CN"/>
              </w:rPr>
            </w:pPr>
            <w:r>
              <w:rPr>
                <w:rFonts w:hint="eastAsia"/>
                <w:sz w:val="21"/>
                <w:szCs w:val="21"/>
                <w:lang w:val="en-US" w:eastAsia="zh-CN"/>
              </w:rPr>
              <w:t>1.对</w:t>
            </w:r>
            <w:r>
              <w:rPr>
                <w:rFonts w:hint="eastAsia"/>
                <w:sz w:val="21"/>
                <w:szCs w:val="21"/>
                <w:lang w:eastAsia="zh-CN"/>
              </w:rPr>
              <w:t>生活垃圾“混收、混运”的，不得分；</w:t>
            </w:r>
          </w:p>
          <w:p>
            <w:pPr>
              <w:spacing w:after="0" w:line="300" w:lineRule="exact"/>
              <w:jc w:val="left"/>
              <w:rPr>
                <w:rFonts w:hint="eastAsia"/>
                <w:sz w:val="21"/>
                <w:szCs w:val="21"/>
                <w:lang w:eastAsia="zh-CN"/>
              </w:rPr>
            </w:pPr>
            <w:r>
              <w:rPr>
                <w:rFonts w:hint="eastAsia"/>
                <w:sz w:val="21"/>
                <w:szCs w:val="21"/>
                <w:lang w:val="en-US" w:eastAsia="zh-CN"/>
              </w:rPr>
              <w:t>2.收集</w:t>
            </w:r>
            <w:r>
              <w:rPr>
                <w:rFonts w:hint="eastAsia"/>
                <w:sz w:val="21"/>
                <w:szCs w:val="21"/>
                <w:lang w:eastAsia="zh-CN"/>
              </w:rPr>
              <w:t>存在扰民问题的，扣</w:t>
            </w:r>
            <w:r>
              <w:rPr>
                <w:rFonts w:hint="eastAsia"/>
                <w:sz w:val="21"/>
                <w:szCs w:val="21"/>
                <w:lang w:val="en-US" w:eastAsia="zh-CN"/>
              </w:rPr>
              <w:t>2分</w:t>
            </w:r>
            <w:r>
              <w:rPr>
                <w:rFonts w:hint="eastAsia"/>
                <w:sz w:val="21"/>
                <w:szCs w:val="21"/>
                <w:lang w:eastAsia="zh-CN"/>
              </w:rPr>
              <w:t>。</w:t>
            </w:r>
          </w:p>
        </w:tc>
      </w:tr>
    </w:tbl>
    <w:p>
      <w:pPr>
        <w:spacing w:after="0" w:line="300" w:lineRule="exact"/>
        <w:jc w:val="left"/>
        <w:rPr>
          <w:rFonts w:hint="eastAsia"/>
          <w:sz w:val="21"/>
          <w:szCs w:val="21"/>
          <w:lang w:eastAsia="zh-CN"/>
        </w:rPr>
      </w:pPr>
    </w:p>
    <w:p>
      <w:pPr>
        <w:spacing w:line="560" w:lineRule="exact"/>
        <w:ind w:firstLine="1600" w:firstLineChars="500"/>
        <w:rPr>
          <w:rFonts w:ascii="仿宋_GB2312" w:eastAsia="仿宋_GB2312"/>
          <w:sz w:val="32"/>
          <w:szCs w:val="32"/>
        </w:rPr>
        <w:sectPr>
          <w:footerReference r:id="rId3" w:type="default"/>
          <w:pgSz w:w="16838" w:h="11906" w:orient="landscape"/>
          <w:pgMar w:top="1588" w:right="2098" w:bottom="1474" w:left="1984" w:header="851" w:footer="992" w:gutter="0"/>
          <w:pgNumType w:fmt="numberInDash" w:start="1"/>
          <w:cols w:space="720" w:num="1"/>
          <w:docGrid w:type="lines" w:linePitch="312" w:charSpace="0"/>
        </w:sectPr>
      </w:pPr>
    </w:p>
    <w:p>
      <w:pPr>
        <w:numPr>
          <w:ilvl w:val="0"/>
          <w:numId w:val="0"/>
        </w:numPr>
        <w:jc w:val="left"/>
        <w:rPr>
          <w:rFonts w:hint="eastAsia" w:ascii="仿宋" w:hAnsi="仿宋" w:eastAsia="仿宋" w:cs="仿宋"/>
          <w:b w:val="0"/>
          <w:bCs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218C"/>
    <w:rsid w:val="03DE4747"/>
    <w:rsid w:val="061322BB"/>
    <w:rsid w:val="0684413F"/>
    <w:rsid w:val="09EA5190"/>
    <w:rsid w:val="0A623ED7"/>
    <w:rsid w:val="0D101670"/>
    <w:rsid w:val="0E763729"/>
    <w:rsid w:val="11923B68"/>
    <w:rsid w:val="18EA6623"/>
    <w:rsid w:val="1943130B"/>
    <w:rsid w:val="198B2BA8"/>
    <w:rsid w:val="1B74620F"/>
    <w:rsid w:val="211F77A8"/>
    <w:rsid w:val="23620BE5"/>
    <w:rsid w:val="23CD37A2"/>
    <w:rsid w:val="266C126A"/>
    <w:rsid w:val="26B23FDB"/>
    <w:rsid w:val="288F5816"/>
    <w:rsid w:val="28BD6A2C"/>
    <w:rsid w:val="297C770B"/>
    <w:rsid w:val="2D3B6EA0"/>
    <w:rsid w:val="2FC87C91"/>
    <w:rsid w:val="312B77FB"/>
    <w:rsid w:val="32A867EA"/>
    <w:rsid w:val="32E31E1E"/>
    <w:rsid w:val="3E062C7F"/>
    <w:rsid w:val="3F595A41"/>
    <w:rsid w:val="42FA6B47"/>
    <w:rsid w:val="45106C00"/>
    <w:rsid w:val="451A6FFB"/>
    <w:rsid w:val="462F1C56"/>
    <w:rsid w:val="4D2219BC"/>
    <w:rsid w:val="4F850574"/>
    <w:rsid w:val="4F984D4B"/>
    <w:rsid w:val="521B096A"/>
    <w:rsid w:val="54AE0B0A"/>
    <w:rsid w:val="55462553"/>
    <w:rsid w:val="58B04CA4"/>
    <w:rsid w:val="61F86C83"/>
    <w:rsid w:val="63CC1870"/>
    <w:rsid w:val="64061FAE"/>
    <w:rsid w:val="64BB5B2A"/>
    <w:rsid w:val="67585C7C"/>
    <w:rsid w:val="6836003A"/>
    <w:rsid w:val="68A87049"/>
    <w:rsid w:val="6C2B0CCC"/>
    <w:rsid w:val="6D56244D"/>
    <w:rsid w:val="6D6328A8"/>
    <w:rsid w:val="6FA912FE"/>
    <w:rsid w:val="6FC0063C"/>
    <w:rsid w:val="6FC731CE"/>
    <w:rsid w:val="747273DB"/>
    <w:rsid w:val="76CC117E"/>
    <w:rsid w:val="7E3F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2023-03-20T05:40:00Z</dcterms:created>
  <dc:creator>Administrator.PC-20211019ZRBB</dc:creator>
  <cp:lastModifiedBy>Administrator</cp:lastModifiedBy>
  <cp:lastPrinted>2023-04-14T05:19:14Z</cp:lastPrinted>
  <dcterms:modified xsi:type="dcterms:W3CDTF">2023-04-14T05:20:58Z</dcterms:modified>
  <dc:title>《古林镇住宅小区物业服务考核评分细则》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