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99" w:rsidRDefault="00380999" w:rsidP="00380999">
      <w:pPr>
        <w:spacing w:line="4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380999" w:rsidRPr="008D7B9E" w:rsidRDefault="00380999" w:rsidP="00380999">
      <w:pPr>
        <w:spacing w:line="4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380999" w:rsidRDefault="00380999" w:rsidP="00380999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区级个性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指标赋分标准</w:t>
      </w:r>
      <w:proofErr w:type="gramEnd"/>
    </w:p>
    <w:p w:rsidR="00380999" w:rsidRDefault="00380999" w:rsidP="00380999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bookmarkStart w:id="0" w:name="_GoBack"/>
      <w:bookmarkEnd w:id="0"/>
    </w:p>
    <w:tbl>
      <w:tblPr>
        <w:tblpPr w:leftFromText="180" w:rightFromText="180" w:vertAnchor="text" w:horzAnchor="page" w:tblpX="1113" w:tblpY="228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018"/>
        <w:gridCol w:w="2180"/>
        <w:gridCol w:w="1730"/>
        <w:gridCol w:w="3755"/>
      </w:tblGrid>
      <w:tr w:rsidR="00380999" w:rsidTr="00EE1CF9">
        <w:trPr>
          <w:trHeight w:val="600"/>
        </w:trPr>
        <w:tc>
          <w:tcPr>
            <w:tcW w:w="779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一级指标</w:t>
            </w:r>
          </w:p>
        </w:tc>
        <w:tc>
          <w:tcPr>
            <w:tcW w:w="5018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二级指标</w:t>
            </w: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审核评分部门</w:t>
            </w:r>
          </w:p>
        </w:tc>
        <w:tc>
          <w:tcPr>
            <w:tcW w:w="1730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审核形式</w:t>
            </w:r>
          </w:p>
        </w:tc>
        <w:tc>
          <w:tcPr>
            <w:tcW w:w="3755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所需证明材料</w:t>
            </w:r>
          </w:p>
        </w:tc>
      </w:tr>
      <w:tr w:rsidR="00380999" w:rsidTr="00EE1CF9">
        <w:trPr>
          <w:trHeight w:val="1129"/>
        </w:trPr>
        <w:tc>
          <w:tcPr>
            <w:tcW w:w="779" w:type="dxa"/>
            <w:vMerge w:val="restart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个性</w:t>
            </w:r>
          </w:p>
          <w:p w:rsidR="00380999" w:rsidRDefault="00380999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指标</w:t>
            </w:r>
          </w:p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（50分）</w:t>
            </w:r>
          </w:p>
        </w:tc>
        <w:tc>
          <w:tcPr>
            <w:tcW w:w="1418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</w:rPr>
              <w:t>表彰奖励（10分）</w:t>
            </w:r>
          </w:p>
        </w:tc>
        <w:tc>
          <w:tcPr>
            <w:tcW w:w="5018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获得海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区属各单位、区机关各部门颁发的各类先进、荣誉称号的，得5分；获得海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区委、区政府颁发的各类先进、荣誉称号的，得10分，最高限10分。</w:t>
            </w: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区流管办</w:t>
            </w:r>
          </w:p>
        </w:tc>
        <w:tc>
          <w:tcPr>
            <w:tcW w:w="1730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</w:p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审核评分</w:t>
            </w:r>
          </w:p>
        </w:tc>
        <w:tc>
          <w:tcPr>
            <w:tcW w:w="3755" w:type="dxa"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荣誉证书（表彰文件）原件。</w:t>
            </w:r>
          </w:p>
        </w:tc>
      </w:tr>
      <w:tr w:rsidR="00380999" w:rsidTr="00EE1CF9">
        <w:trPr>
          <w:trHeight w:val="336"/>
        </w:trPr>
        <w:tc>
          <w:tcPr>
            <w:tcW w:w="779" w:type="dxa"/>
            <w:vMerge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</w:rPr>
              <w:t>岗位贡献（10分）</w:t>
            </w:r>
          </w:p>
        </w:tc>
        <w:tc>
          <w:tcPr>
            <w:tcW w:w="5018" w:type="dxa"/>
            <w:vMerge w:val="restart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区属单位医护、警务辅助、一线道路保洁岗位工作满一年的，得10分。</w:t>
            </w: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区卫生健康局</w:t>
            </w:r>
          </w:p>
        </w:tc>
        <w:tc>
          <w:tcPr>
            <w:tcW w:w="1730" w:type="dxa"/>
            <w:vMerge w:val="restart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人工核查评分</w:t>
            </w:r>
          </w:p>
        </w:tc>
        <w:tc>
          <w:tcPr>
            <w:tcW w:w="3755" w:type="dxa"/>
            <w:vMerge w:val="restart"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居民身份证。</w:t>
            </w:r>
          </w:p>
        </w:tc>
      </w:tr>
      <w:tr w:rsidR="00380999" w:rsidTr="00EE1CF9">
        <w:trPr>
          <w:trHeight w:val="284"/>
        </w:trPr>
        <w:tc>
          <w:tcPr>
            <w:tcW w:w="779" w:type="dxa"/>
            <w:vMerge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sz w:val="24"/>
              </w:rPr>
            </w:pPr>
          </w:p>
        </w:tc>
        <w:tc>
          <w:tcPr>
            <w:tcW w:w="5018" w:type="dxa"/>
            <w:vMerge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公安分局</w:t>
            </w:r>
          </w:p>
        </w:tc>
        <w:tc>
          <w:tcPr>
            <w:tcW w:w="1730" w:type="dxa"/>
            <w:vMerge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80999" w:rsidTr="00EE1CF9">
        <w:trPr>
          <w:trHeight w:val="286"/>
        </w:trPr>
        <w:tc>
          <w:tcPr>
            <w:tcW w:w="779" w:type="dxa"/>
            <w:vMerge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sz w:val="24"/>
              </w:rPr>
            </w:pPr>
          </w:p>
        </w:tc>
        <w:tc>
          <w:tcPr>
            <w:tcW w:w="5018" w:type="dxa"/>
            <w:vMerge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区综合执法局</w:t>
            </w:r>
          </w:p>
        </w:tc>
        <w:tc>
          <w:tcPr>
            <w:tcW w:w="1730" w:type="dxa"/>
            <w:vMerge w:val="restart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</w:p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审核评分</w:t>
            </w:r>
          </w:p>
        </w:tc>
        <w:tc>
          <w:tcPr>
            <w:tcW w:w="3755" w:type="dxa"/>
            <w:vMerge w:val="restart"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与环卫中心或镇（乡）街道签订的聘用合同原件。</w:t>
            </w:r>
          </w:p>
        </w:tc>
      </w:tr>
      <w:tr w:rsidR="00380999" w:rsidTr="00EE1CF9">
        <w:trPr>
          <w:trHeight w:val="180"/>
        </w:trPr>
        <w:tc>
          <w:tcPr>
            <w:tcW w:w="779" w:type="dxa"/>
            <w:vMerge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sz w:val="24"/>
              </w:rPr>
            </w:pPr>
          </w:p>
        </w:tc>
        <w:tc>
          <w:tcPr>
            <w:tcW w:w="5018" w:type="dxa"/>
            <w:vMerge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各镇（乡）街道</w:t>
            </w:r>
          </w:p>
        </w:tc>
        <w:tc>
          <w:tcPr>
            <w:tcW w:w="1730" w:type="dxa"/>
            <w:vMerge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80999" w:rsidTr="00EE1CF9">
        <w:trPr>
          <w:trHeight w:val="749"/>
        </w:trPr>
        <w:tc>
          <w:tcPr>
            <w:tcW w:w="779" w:type="dxa"/>
            <w:vMerge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</w:rPr>
              <w:t>居住登记</w:t>
            </w:r>
          </w:p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</w:rPr>
              <w:t>（10分）</w:t>
            </w:r>
          </w:p>
        </w:tc>
        <w:tc>
          <w:tcPr>
            <w:tcW w:w="5018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区居住且自主申报居住登记，首次申报得5分；首次申报后，居住地或工作单位发生变化的，每自主申报一次得1分，最高限10分。</w:t>
            </w: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公安分局</w:t>
            </w:r>
          </w:p>
        </w:tc>
        <w:tc>
          <w:tcPr>
            <w:tcW w:w="1730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人工核查评分</w:t>
            </w:r>
          </w:p>
        </w:tc>
        <w:tc>
          <w:tcPr>
            <w:tcW w:w="3755" w:type="dxa"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居民身份证。</w:t>
            </w:r>
          </w:p>
        </w:tc>
      </w:tr>
      <w:tr w:rsidR="00380999" w:rsidTr="00EE1CF9">
        <w:trPr>
          <w:trHeight w:val="90"/>
        </w:trPr>
        <w:tc>
          <w:tcPr>
            <w:tcW w:w="779" w:type="dxa"/>
            <w:vMerge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</w:rPr>
              <w:t>党员管理（5分）</w:t>
            </w:r>
          </w:p>
        </w:tc>
        <w:tc>
          <w:tcPr>
            <w:tcW w:w="5018" w:type="dxa"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固定、长期参加海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区组织生活并发挥作用的（长期一般指1年以上），得5分。</w:t>
            </w: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区委组织部</w:t>
            </w:r>
          </w:p>
        </w:tc>
        <w:tc>
          <w:tcPr>
            <w:tcW w:w="1730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材料审核评分</w:t>
            </w:r>
          </w:p>
        </w:tc>
        <w:tc>
          <w:tcPr>
            <w:tcW w:w="3755" w:type="dxa"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党员关系所在党组织的上级党（工）委出具的相关证明。</w:t>
            </w:r>
          </w:p>
        </w:tc>
      </w:tr>
      <w:tr w:rsidR="00380999" w:rsidTr="00EE1CF9">
        <w:trPr>
          <w:trHeight w:val="749"/>
        </w:trPr>
        <w:tc>
          <w:tcPr>
            <w:tcW w:w="779" w:type="dxa"/>
            <w:vMerge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</w:rPr>
              <w:t>退役军人（5分）</w:t>
            </w:r>
          </w:p>
        </w:tc>
        <w:tc>
          <w:tcPr>
            <w:tcW w:w="5018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退役军人，得5分。</w:t>
            </w: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区退役军人事务局</w:t>
            </w:r>
          </w:p>
        </w:tc>
        <w:tc>
          <w:tcPr>
            <w:tcW w:w="1730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材料审核评分</w:t>
            </w:r>
          </w:p>
        </w:tc>
        <w:tc>
          <w:tcPr>
            <w:tcW w:w="3755" w:type="dxa"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退出现役证、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转业证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原件或其他退役证明材料。</w:t>
            </w:r>
          </w:p>
        </w:tc>
      </w:tr>
      <w:tr w:rsidR="00380999" w:rsidTr="00EE1CF9">
        <w:trPr>
          <w:trHeight w:val="90"/>
        </w:trPr>
        <w:tc>
          <w:tcPr>
            <w:tcW w:w="779" w:type="dxa"/>
            <w:vMerge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</w:rPr>
              <w:t>疫苗接种（5分）</w:t>
            </w:r>
          </w:p>
        </w:tc>
        <w:tc>
          <w:tcPr>
            <w:tcW w:w="5018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区医疗卫生机构完成所有剂次（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含加强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针）新冠疫苗接种的，得5分。</w:t>
            </w: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区卫生健康局</w:t>
            </w:r>
          </w:p>
        </w:tc>
        <w:tc>
          <w:tcPr>
            <w:tcW w:w="1730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材料</w:t>
            </w:r>
          </w:p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审核评分</w:t>
            </w:r>
          </w:p>
        </w:tc>
        <w:tc>
          <w:tcPr>
            <w:tcW w:w="3755" w:type="dxa"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新冠疫苗接种证明。</w:t>
            </w:r>
          </w:p>
        </w:tc>
      </w:tr>
      <w:tr w:rsidR="00380999" w:rsidTr="00EE1CF9">
        <w:trPr>
          <w:trHeight w:val="335"/>
        </w:trPr>
        <w:tc>
          <w:tcPr>
            <w:tcW w:w="779" w:type="dxa"/>
            <w:vMerge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</w:rPr>
              <w:t>书香阅读</w:t>
            </w:r>
          </w:p>
          <w:p w:rsidR="00380999" w:rsidRDefault="00380999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</w:rPr>
              <w:t>（5分）</w:t>
            </w:r>
          </w:p>
        </w:tc>
        <w:tc>
          <w:tcPr>
            <w:tcW w:w="5018" w:type="dxa"/>
            <w:vAlign w:val="center"/>
          </w:tcPr>
          <w:p w:rsidR="00380999" w:rsidRDefault="00380999" w:rsidP="00EE1CF9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区图书馆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办理借书证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得1分；借还图书，每10册得0.25分，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最高限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1分；参与图书馆志愿者活动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每满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4小时得0.25分，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最高限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1分；参与线上或线下书香活动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每次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得0.25分，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最高限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1分；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获得海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图书馆组织的读者活动一等奖及以上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得1分，其他奖项得0.5分，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最高限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2180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区文化和广电</w:t>
            </w:r>
          </w:p>
          <w:p w:rsidR="00380999" w:rsidRDefault="00380999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旅游体育局</w:t>
            </w:r>
          </w:p>
        </w:tc>
        <w:tc>
          <w:tcPr>
            <w:tcW w:w="1730" w:type="dxa"/>
            <w:vAlign w:val="center"/>
          </w:tcPr>
          <w:p w:rsidR="00380999" w:rsidRDefault="00380999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系统自动评分</w:t>
            </w:r>
          </w:p>
        </w:tc>
        <w:tc>
          <w:tcPr>
            <w:tcW w:w="3755" w:type="dxa"/>
            <w:vAlign w:val="center"/>
          </w:tcPr>
          <w:p w:rsidR="00380999" w:rsidRDefault="00380999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居民身份证。</w:t>
            </w:r>
          </w:p>
        </w:tc>
      </w:tr>
    </w:tbl>
    <w:p w:rsidR="00CC09DA" w:rsidRPr="00380999" w:rsidRDefault="00380999"/>
    <w:sectPr w:rsidR="00CC09DA" w:rsidRPr="00380999" w:rsidSect="0038099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2F"/>
    <w:rsid w:val="002A36D3"/>
    <w:rsid w:val="00380999"/>
    <w:rsid w:val="004950DF"/>
    <w:rsid w:val="005851C8"/>
    <w:rsid w:val="00613D80"/>
    <w:rsid w:val="007731A8"/>
    <w:rsid w:val="007C58F1"/>
    <w:rsid w:val="00834F2F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9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9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2022-09-21T07:35:00Z</dcterms:created>
  <dcterms:modified xsi:type="dcterms:W3CDTF">2022-09-21T07:36:00Z</dcterms:modified>
</cp:coreProperties>
</file>