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600" w:lineRule="exact"/>
        <w:ind w:firstLine="880" w:firstLineChars="200"/>
        <w:jc w:val="center"/>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宁波市海曙区市场监督管理局公平竞争审查目录</w:t>
      </w:r>
    </w:p>
    <w:p>
      <w:pPr>
        <w:pStyle w:val="7"/>
        <w:widowControl/>
        <w:shd w:val="clear" w:color="auto" w:fill="FFFFFF"/>
        <w:spacing w:beforeAutospacing="0" w:afterAutospacing="0" w:line="600" w:lineRule="exact"/>
        <w:ind w:firstLine="880" w:firstLineChars="200"/>
        <w:jc w:val="center"/>
        <w:rPr>
          <w:rFonts w:ascii="方正小标宋简体" w:hAnsi="黑体" w:eastAsia="方正小标宋简体" w:cs="黑体"/>
          <w:sz w:val="44"/>
          <w:szCs w:val="44"/>
        </w:rPr>
      </w:pPr>
      <w:r>
        <w:rPr>
          <w:rFonts w:hint="eastAsia" w:ascii="方正小标宋简体" w:hAnsi="方正小标宋简体" w:eastAsia="方正小标宋简体" w:cs="方正小标宋简体"/>
          <w:kern w:val="0"/>
          <w:sz w:val="44"/>
          <w:szCs w:val="44"/>
          <w:lang w:val="en-US" w:eastAsia="zh-CN" w:bidi="ar-SA"/>
        </w:rPr>
        <w:t>（</w:t>
      </w:r>
      <w:r>
        <w:rPr>
          <w:rFonts w:hint="eastAsia" w:ascii="方正小标宋简体" w:hAnsi="方正小标宋简体" w:eastAsia="方正小标宋简体" w:cs="方正小标宋简体"/>
          <w:kern w:val="0"/>
          <w:sz w:val="32"/>
          <w:szCs w:val="32"/>
          <w:lang w:val="en-US" w:eastAsia="zh-CN" w:bidi="ar-SA"/>
        </w:rPr>
        <w:t>2022年第一季度</w:t>
      </w:r>
      <w:r>
        <w:rPr>
          <w:rFonts w:hint="eastAsia" w:ascii="方正小标宋简体" w:hAnsi="方正小标宋简体" w:eastAsia="方正小标宋简体" w:cs="方正小标宋简体"/>
          <w:kern w:val="0"/>
          <w:sz w:val="44"/>
          <w:szCs w:val="44"/>
          <w:lang w:val="en-US" w:eastAsia="zh-CN" w:bidi="ar-SA"/>
        </w:rPr>
        <w:t>）</w:t>
      </w:r>
    </w:p>
    <w:tbl>
      <w:tblPr>
        <w:tblStyle w:val="9"/>
        <w:tblpPr w:leftFromText="180" w:rightFromText="180" w:vertAnchor="text" w:horzAnchor="page" w:tblpX="1431" w:tblpY="336"/>
        <w:tblOverlap w:val="never"/>
        <w:tblW w:w="14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500"/>
        <w:gridCol w:w="190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ascii="黑体" w:hAnsi="黑体" w:eastAsia="黑体" w:cs="黑体"/>
                <w:sz w:val="24"/>
              </w:rPr>
            </w:pPr>
            <w:r>
              <w:rPr>
                <w:rFonts w:hint="eastAsia" w:ascii="黑体" w:hAnsi="黑体" w:eastAsia="黑体" w:cs="黑体"/>
                <w:sz w:val="24"/>
              </w:rPr>
              <w:t>序号</w:t>
            </w:r>
          </w:p>
        </w:tc>
        <w:tc>
          <w:tcPr>
            <w:tcW w:w="7500" w:type="dxa"/>
            <w:vAlign w:val="center"/>
          </w:tcPr>
          <w:p>
            <w:pPr>
              <w:jc w:val="center"/>
              <w:rPr>
                <w:rFonts w:hint="default" w:ascii="黑体" w:hAnsi="黑体" w:eastAsia="黑体" w:cs="黑体"/>
                <w:sz w:val="24"/>
                <w:lang w:val="en-US" w:eastAsia="zh-CN"/>
              </w:rPr>
            </w:pPr>
            <w:r>
              <w:rPr>
                <w:rFonts w:hint="eastAsia" w:ascii="黑体" w:hAnsi="黑体" w:eastAsia="黑体" w:cs="黑体"/>
                <w:sz w:val="24"/>
              </w:rPr>
              <w:t>名称</w:t>
            </w:r>
            <w:r>
              <w:rPr>
                <w:rFonts w:hint="eastAsia" w:ascii="黑体" w:hAnsi="黑体" w:eastAsia="黑体" w:cs="黑体"/>
                <w:sz w:val="24"/>
                <w:lang w:val="en-US" w:eastAsia="zh-CN"/>
              </w:rPr>
              <w:t>及文号</w:t>
            </w:r>
          </w:p>
        </w:tc>
        <w:tc>
          <w:tcPr>
            <w:tcW w:w="1905" w:type="dxa"/>
            <w:vAlign w:val="center"/>
          </w:tcPr>
          <w:p>
            <w:pPr>
              <w:jc w:val="center"/>
              <w:rPr>
                <w:rFonts w:hint="eastAsia" w:ascii="黑体" w:hAnsi="黑体" w:eastAsia="黑体" w:cs="黑体"/>
                <w:sz w:val="24"/>
                <w:lang w:eastAsia="zh-CN"/>
              </w:rPr>
            </w:pPr>
            <w:r>
              <w:rPr>
                <w:rFonts w:hint="eastAsia" w:ascii="黑体" w:hAnsi="黑体" w:eastAsia="黑体" w:cs="黑体"/>
                <w:sz w:val="24"/>
                <w:lang w:val="en-US" w:eastAsia="zh-CN"/>
              </w:rPr>
              <w:t>类别</w:t>
            </w:r>
          </w:p>
        </w:tc>
        <w:tc>
          <w:tcPr>
            <w:tcW w:w="3945" w:type="dxa"/>
            <w:vAlign w:val="center"/>
          </w:tcPr>
          <w:p>
            <w:pPr>
              <w:jc w:val="center"/>
              <w:rPr>
                <w:rFonts w:hint="eastAsia" w:ascii="黑体" w:hAnsi="黑体" w:eastAsia="黑体" w:cs="黑体"/>
                <w:sz w:val="24"/>
                <w:lang w:eastAsia="zh-CN"/>
              </w:rPr>
            </w:pPr>
            <w:r>
              <w:rPr>
                <w:rFonts w:hint="eastAsia" w:ascii="黑体" w:hAnsi="黑体" w:eastAsia="黑体" w:cs="黑体"/>
                <w:sz w:val="24"/>
              </w:rPr>
              <w:t>审查</w:t>
            </w:r>
            <w:r>
              <w:rPr>
                <w:rFonts w:hint="eastAsia" w:ascii="黑体" w:hAnsi="黑体" w:eastAsia="黑体" w:cs="黑体"/>
                <w:sz w:val="24"/>
                <w:lang w:val="en-US"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p>
        </w:tc>
        <w:tc>
          <w:tcPr>
            <w:tcW w:w="7500"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240" w:lineRule="auto"/>
              <w:ind w:left="0" w:right="0" w:firstLine="0"/>
              <w:jc w:val="left"/>
              <w:textAlignment w:val="auto"/>
              <w:rPr>
                <w:rFonts w:hint="eastAsia" w:ascii="仿宋" w:hAnsi="仿宋" w:eastAsia="仿宋" w:cs="仿宋"/>
                <w:sz w:val="24"/>
              </w:rPr>
            </w:pPr>
            <w:r>
              <w:rPr>
                <w:rFonts w:hint="default" w:ascii="仿宋" w:hAnsi="仿宋" w:eastAsia="仿宋" w:cs="仿宋"/>
                <w:b w:val="0"/>
                <w:bCs w:val="0"/>
                <w:kern w:val="2"/>
                <w:sz w:val="24"/>
                <w:szCs w:val="24"/>
                <w:lang w:val="en-US" w:eastAsia="zh-CN" w:bidi="ar-SA"/>
              </w:rPr>
              <w:t>宁波市海曙区市场监督管理局等六部门关于印发《2021年海曙区保健食品行业专项治理行动实施方案》的通知</w:t>
            </w:r>
            <w:r>
              <w:rPr>
                <w:rFonts w:hint="eastAsia" w:ascii="仿宋" w:hAnsi="仿宋" w:eastAsia="仿宋" w:cs="仿宋"/>
                <w:b w:val="0"/>
                <w:bCs w:val="0"/>
                <w:kern w:val="2"/>
                <w:sz w:val="24"/>
                <w:szCs w:val="24"/>
                <w:lang w:val="en-US" w:eastAsia="zh-CN" w:bidi="ar-SA"/>
              </w:rPr>
              <w:t>（</w:t>
            </w:r>
            <w:r>
              <w:rPr>
                <w:rFonts w:hint="eastAsia" w:ascii="仿宋" w:hAnsi="仿宋" w:eastAsia="仿宋" w:cs="仿宋"/>
                <w:b w:val="0"/>
                <w:bCs w:val="0"/>
                <w:sz w:val="24"/>
              </w:rPr>
              <w:t>海市监〔20</w:t>
            </w:r>
            <w:r>
              <w:rPr>
                <w:rFonts w:hint="eastAsia" w:ascii="仿宋" w:hAnsi="仿宋" w:eastAsia="仿宋" w:cs="仿宋"/>
                <w:b w:val="0"/>
                <w:bCs w:val="0"/>
                <w:sz w:val="24"/>
                <w:lang w:val="en-US" w:eastAsia="zh-CN"/>
              </w:rPr>
              <w:t>21</w:t>
            </w:r>
            <w:r>
              <w:rPr>
                <w:rFonts w:hint="eastAsia" w:ascii="仿宋" w:hAnsi="仿宋" w:eastAsia="仿宋" w:cs="仿宋"/>
                <w:b w:val="0"/>
                <w:bCs w:val="0"/>
                <w:sz w:val="24"/>
              </w:rPr>
              <w:t>〕</w:t>
            </w:r>
            <w:r>
              <w:rPr>
                <w:rFonts w:hint="eastAsia" w:ascii="仿宋" w:hAnsi="仿宋" w:eastAsia="仿宋" w:cs="仿宋"/>
                <w:b w:val="0"/>
                <w:bCs w:val="0"/>
                <w:sz w:val="24"/>
                <w:lang w:val="en-US" w:eastAsia="zh-CN"/>
              </w:rPr>
              <w:t>18</w:t>
            </w:r>
            <w:r>
              <w:rPr>
                <w:rFonts w:hint="eastAsia" w:ascii="仿宋" w:hAnsi="仿宋" w:eastAsia="仿宋" w:cs="仿宋"/>
                <w:b w:val="0"/>
                <w:bCs w:val="0"/>
                <w:sz w:val="24"/>
              </w:rPr>
              <w:t>号</w:t>
            </w:r>
            <w:r>
              <w:rPr>
                <w:rFonts w:hint="eastAsia" w:ascii="仿宋" w:hAnsi="仿宋" w:eastAsia="仿宋" w:cs="仿宋"/>
                <w:b w:val="0"/>
                <w:bCs w:val="0"/>
                <w:kern w:val="2"/>
                <w:sz w:val="24"/>
                <w:szCs w:val="24"/>
                <w:lang w:val="en-US" w:eastAsia="zh-CN" w:bidi="ar-SA"/>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2</w:t>
            </w:r>
          </w:p>
        </w:tc>
        <w:tc>
          <w:tcPr>
            <w:tcW w:w="7500"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240" w:lineRule="auto"/>
              <w:ind w:left="0" w:right="0" w:firstLine="0"/>
              <w:jc w:val="left"/>
              <w:textAlignment w:val="auto"/>
              <w:rPr>
                <w:rFonts w:hint="eastAsia" w:ascii="仿宋" w:hAnsi="仿宋" w:eastAsia="仿宋" w:cs="仿宋"/>
                <w:sz w:val="24"/>
              </w:rPr>
            </w:pPr>
            <w:r>
              <w:rPr>
                <w:rFonts w:hint="default" w:ascii="仿宋" w:hAnsi="仿宋" w:eastAsia="仿宋" w:cs="仿宋"/>
                <w:b w:val="0"/>
                <w:bCs w:val="0"/>
                <w:kern w:val="2"/>
                <w:sz w:val="24"/>
                <w:szCs w:val="24"/>
                <w:lang w:val="en-US" w:eastAsia="zh-CN" w:bidi="ar-SA"/>
              </w:rPr>
              <w:t>宁波市海曙区市场监督管理局宁波市海曙区财政局关于下达海曙区2021年度第二批专利专项资金补助的通知</w:t>
            </w:r>
            <w:r>
              <w:rPr>
                <w:rFonts w:hint="eastAsia" w:ascii="仿宋" w:hAnsi="仿宋" w:eastAsia="仿宋" w:cs="仿宋"/>
                <w:b w:val="0"/>
                <w:bCs w:val="0"/>
                <w:kern w:val="2"/>
                <w:sz w:val="24"/>
                <w:szCs w:val="24"/>
                <w:lang w:val="en-US" w:eastAsia="zh-CN" w:bidi="ar-SA"/>
              </w:rPr>
              <w:t>（</w:t>
            </w:r>
            <w:r>
              <w:rPr>
                <w:rFonts w:hint="eastAsia" w:ascii="仿宋" w:hAnsi="仿宋" w:eastAsia="仿宋" w:cs="仿宋"/>
                <w:b w:val="0"/>
                <w:bCs w:val="0"/>
                <w:sz w:val="24"/>
              </w:rPr>
              <w:t>海市监〔20</w:t>
            </w:r>
            <w:r>
              <w:rPr>
                <w:rFonts w:hint="eastAsia" w:ascii="仿宋" w:hAnsi="仿宋" w:eastAsia="仿宋" w:cs="仿宋"/>
                <w:b w:val="0"/>
                <w:bCs w:val="0"/>
                <w:sz w:val="24"/>
                <w:lang w:val="en-US" w:eastAsia="zh-CN"/>
              </w:rPr>
              <w:t>21</w:t>
            </w:r>
            <w:r>
              <w:rPr>
                <w:rFonts w:hint="eastAsia" w:ascii="仿宋" w:hAnsi="仿宋" w:eastAsia="仿宋" w:cs="仿宋"/>
                <w:b w:val="0"/>
                <w:bCs w:val="0"/>
                <w:sz w:val="24"/>
              </w:rPr>
              <w:t>〕</w:t>
            </w:r>
            <w:r>
              <w:rPr>
                <w:rFonts w:hint="eastAsia" w:ascii="仿宋" w:hAnsi="仿宋" w:eastAsia="仿宋" w:cs="仿宋"/>
                <w:b w:val="0"/>
                <w:bCs w:val="0"/>
                <w:sz w:val="24"/>
                <w:lang w:val="en-US" w:eastAsia="zh-CN"/>
              </w:rPr>
              <w:t>19</w:t>
            </w:r>
            <w:r>
              <w:rPr>
                <w:rFonts w:hint="eastAsia" w:ascii="仿宋" w:hAnsi="仿宋" w:eastAsia="仿宋" w:cs="仿宋"/>
                <w:b w:val="0"/>
                <w:bCs w:val="0"/>
                <w:sz w:val="24"/>
              </w:rPr>
              <w:t>号</w:t>
            </w:r>
            <w:r>
              <w:rPr>
                <w:rFonts w:hint="eastAsia" w:ascii="仿宋" w:hAnsi="仿宋" w:eastAsia="仿宋" w:cs="仿宋"/>
                <w:b w:val="0"/>
                <w:bCs w:val="0"/>
                <w:kern w:val="2"/>
                <w:sz w:val="24"/>
                <w:szCs w:val="24"/>
                <w:lang w:val="en-US" w:eastAsia="zh-CN" w:bidi="ar-SA"/>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ascii="仿宋" w:hAnsi="仿宋" w:eastAsia="仿宋" w:cs="仿宋"/>
                <w:sz w:val="24"/>
              </w:rPr>
              <w:t>3</w:t>
            </w:r>
          </w:p>
        </w:tc>
        <w:tc>
          <w:tcPr>
            <w:tcW w:w="7500"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240" w:lineRule="auto"/>
              <w:ind w:left="0" w:leftChars="0" w:right="0" w:rightChars="0" w:firstLine="0" w:firstLineChars="0"/>
              <w:jc w:val="left"/>
              <w:textAlignment w:val="auto"/>
              <w:outlineLvl w:val="2"/>
              <w:rPr>
                <w:rFonts w:hint="default" w:ascii="黑体" w:hAnsi="黑体" w:eastAsia="黑体" w:cs="黑体"/>
                <w:b/>
                <w:bCs/>
                <w:kern w:val="0"/>
                <w:sz w:val="24"/>
                <w:szCs w:val="27"/>
                <w:lang w:val="en-US" w:eastAsia="zh-CN" w:bidi="ar"/>
              </w:rPr>
            </w:pPr>
            <w:r>
              <w:rPr>
                <w:rFonts w:hint="default" w:ascii="仿宋" w:hAnsi="仿宋" w:eastAsia="仿宋" w:cs="仿宋"/>
                <w:b w:val="0"/>
                <w:bCs w:val="0"/>
                <w:kern w:val="2"/>
                <w:sz w:val="24"/>
                <w:szCs w:val="24"/>
                <w:lang w:val="en-US" w:eastAsia="zh-CN" w:bidi="ar-SA"/>
              </w:rPr>
              <w:t>关于公示2021年浙江省A级“守合同重信用”企业的决定</w:t>
            </w:r>
            <w:r>
              <w:rPr>
                <w:rFonts w:hint="eastAsia" w:ascii="仿宋" w:hAnsi="仿宋" w:eastAsia="仿宋" w:cs="仿宋"/>
                <w:b w:val="0"/>
                <w:bCs w:val="0"/>
                <w:kern w:val="2"/>
                <w:sz w:val="24"/>
                <w:szCs w:val="24"/>
                <w:lang w:val="en-US" w:eastAsia="zh-CN" w:bidi="ar-SA"/>
              </w:rPr>
              <w:t>（</w:t>
            </w:r>
            <w:r>
              <w:rPr>
                <w:rFonts w:hint="eastAsia" w:ascii="仿宋" w:hAnsi="仿宋" w:eastAsia="仿宋" w:cs="仿宋"/>
                <w:b w:val="0"/>
                <w:bCs w:val="0"/>
                <w:sz w:val="24"/>
              </w:rPr>
              <w:t>海市监〔20</w:t>
            </w:r>
            <w:r>
              <w:rPr>
                <w:rFonts w:hint="eastAsia" w:ascii="仿宋" w:hAnsi="仿宋" w:eastAsia="仿宋" w:cs="仿宋"/>
                <w:b w:val="0"/>
                <w:bCs w:val="0"/>
                <w:sz w:val="24"/>
                <w:lang w:val="en-US" w:eastAsia="zh-CN"/>
              </w:rPr>
              <w:t>21</w:t>
            </w:r>
            <w:r>
              <w:rPr>
                <w:rFonts w:hint="eastAsia" w:ascii="仿宋" w:hAnsi="仿宋" w:eastAsia="仿宋" w:cs="仿宋"/>
                <w:b w:val="0"/>
                <w:bCs w:val="0"/>
                <w:sz w:val="24"/>
              </w:rPr>
              <w:t>〕</w:t>
            </w:r>
            <w:r>
              <w:rPr>
                <w:rFonts w:hint="eastAsia" w:ascii="仿宋" w:hAnsi="仿宋" w:eastAsia="仿宋" w:cs="仿宋"/>
                <w:b w:val="0"/>
                <w:bCs w:val="0"/>
                <w:sz w:val="24"/>
                <w:lang w:val="en-US" w:eastAsia="zh-CN"/>
              </w:rPr>
              <w:t>26</w:t>
            </w:r>
            <w:r>
              <w:rPr>
                <w:rFonts w:hint="eastAsia" w:ascii="仿宋" w:hAnsi="仿宋" w:eastAsia="仿宋" w:cs="仿宋"/>
                <w:b w:val="0"/>
                <w:bCs w:val="0"/>
                <w:sz w:val="24"/>
              </w:rPr>
              <w:t>号</w:t>
            </w:r>
            <w:r>
              <w:rPr>
                <w:rFonts w:hint="eastAsia" w:ascii="仿宋" w:hAnsi="仿宋" w:eastAsia="仿宋" w:cs="仿宋"/>
                <w:b w:val="0"/>
                <w:bCs w:val="0"/>
                <w:kern w:val="2"/>
                <w:sz w:val="24"/>
                <w:szCs w:val="24"/>
                <w:lang w:val="en-US" w:eastAsia="zh-CN" w:bidi="ar-SA"/>
              </w:rPr>
              <w:t>）</w:t>
            </w:r>
            <w:bookmarkStart w:id="0" w:name="_GoBack"/>
            <w:bookmarkEnd w:id="0"/>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4</w:t>
            </w:r>
          </w:p>
        </w:tc>
        <w:tc>
          <w:tcPr>
            <w:tcW w:w="7500"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rPr>
              <w:t>宁波市海曙区市场监督管理局等四部门关于印发《海曙区艾灸产品市场违法违规行为专项整治工作方案》的通知</w:t>
            </w:r>
            <w:r>
              <w:rPr>
                <w:rFonts w:hint="eastAsia" w:ascii="仿宋" w:hAnsi="仿宋" w:eastAsia="仿宋" w:cs="仿宋"/>
                <w:sz w:val="24"/>
                <w:lang w:eastAsia="zh-CN"/>
              </w:rPr>
              <w:t>（</w:t>
            </w:r>
            <w:r>
              <w:rPr>
                <w:rFonts w:hint="eastAsia" w:ascii="仿宋" w:hAnsi="仿宋" w:eastAsia="仿宋" w:cs="仿宋"/>
                <w:sz w:val="24"/>
              </w:rPr>
              <w:t>海市监〔20</w:t>
            </w:r>
            <w:r>
              <w:rPr>
                <w:rFonts w:hint="eastAsia" w:ascii="仿宋" w:hAnsi="仿宋" w:eastAsia="仿宋" w:cs="仿宋"/>
                <w:sz w:val="24"/>
                <w:lang w:val="en-US" w:eastAsia="zh-CN"/>
              </w:rPr>
              <w:t>22</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5</w:t>
            </w:r>
          </w:p>
        </w:tc>
        <w:tc>
          <w:tcPr>
            <w:tcW w:w="7500"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rPr>
              <w:t>宁波市海曙区市场监督管理局关于开展全区食品安全重点领域风险治理行动的通知</w:t>
            </w:r>
            <w:r>
              <w:rPr>
                <w:rFonts w:hint="eastAsia" w:ascii="仿宋" w:hAnsi="仿宋" w:eastAsia="仿宋" w:cs="仿宋"/>
                <w:sz w:val="24"/>
                <w:lang w:eastAsia="zh-CN"/>
              </w:rPr>
              <w:t>（</w:t>
            </w:r>
            <w:r>
              <w:rPr>
                <w:rFonts w:hint="eastAsia" w:ascii="仿宋" w:hAnsi="仿宋" w:eastAsia="仿宋" w:cs="仿宋"/>
                <w:sz w:val="24"/>
              </w:rPr>
              <w:t>海市监〔20</w:t>
            </w:r>
            <w:r>
              <w:rPr>
                <w:rFonts w:hint="eastAsia" w:ascii="仿宋" w:hAnsi="仿宋" w:eastAsia="仿宋" w:cs="仿宋"/>
                <w:sz w:val="24"/>
                <w:lang w:val="en-US" w:eastAsia="zh-CN"/>
              </w:rPr>
              <w:t>22</w:t>
            </w: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w:t>
            </w:r>
          </w:p>
        </w:tc>
        <w:tc>
          <w:tcPr>
            <w:tcW w:w="7500"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rPr>
              <w:t>宁波市海曙区市场监督管理局关于印发海曙区食品安全综合治理体系建设暨“抽、检、研、处”一体化改革实施方案的通知</w:t>
            </w:r>
            <w:r>
              <w:rPr>
                <w:rFonts w:hint="eastAsia" w:ascii="仿宋" w:hAnsi="仿宋" w:eastAsia="仿宋" w:cs="仿宋"/>
                <w:sz w:val="24"/>
                <w:lang w:eastAsia="zh-CN"/>
              </w:rPr>
              <w:t>（</w:t>
            </w:r>
            <w:r>
              <w:rPr>
                <w:rFonts w:hint="eastAsia" w:ascii="仿宋" w:hAnsi="仿宋" w:eastAsia="仿宋" w:cs="仿宋"/>
                <w:sz w:val="24"/>
              </w:rPr>
              <w:t>海市监〔20</w:t>
            </w:r>
            <w:r>
              <w:rPr>
                <w:rFonts w:hint="eastAsia" w:ascii="仿宋" w:hAnsi="仿宋" w:eastAsia="仿宋" w:cs="仿宋"/>
                <w:sz w:val="24"/>
                <w:lang w:val="en-US" w:eastAsia="zh-CN"/>
              </w:rPr>
              <w:t>22</w:t>
            </w:r>
            <w:r>
              <w:rPr>
                <w:rFonts w:hint="eastAsia" w:ascii="仿宋" w:hAnsi="仿宋" w:eastAsia="仿宋" w:cs="仿宋"/>
                <w:sz w:val="24"/>
              </w:rPr>
              <w:t>〕</w:t>
            </w:r>
            <w:r>
              <w:rPr>
                <w:rFonts w:hint="eastAsia" w:ascii="仿宋" w:hAnsi="仿宋" w:eastAsia="仿宋" w:cs="仿宋"/>
                <w:sz w:val="24"/>
                <w:lang w:val="en-US" w:eastAsia="zh-CN"/>
              </w:rPr>
              <w:t>7</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w:t>
            </w:r>
          </w:p>
        </w:tc>
        <w:tc>
          <w:tcPr>
            <w:tcW w:w="7500"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rPr>
              <w:t>宁波市海曙区市场监督管理局关于印发2022年海曙区市场监管系统食品安全工作要点的通知</w:t>
            </w:r>
            <w:r>
              <w:rPr>
                <w:rFonts w:hint="eastAsia" w:ascii="仿宋" w:hAnsi="仿宋" w:eastAsia="仿宋" w:cs="仿宋"/>
                <w:sz w:val="24"/>
                <w:lang w:eastAsia="zh-CN"/>
              </w:rPr>
              <w:t>（</w:t>
            </w:r>
            <w:r>
              <w:rPr>
                <w:rFonts w:hint="eastAsia" w:ascii="仿宋" w:hAnsi="仿宋" w:eastAsia="仿宋" w:cs="仿宋"/>
                <w:sz w:val="24"/>
              </w:rPr>
              <w:t>海市监〔20</w:t>
            </w:r>
            <w:r>
              <w:rPr>
                <w:rFonts w:hint="eastAsia" w:ascii="仿宋" w:hAnsi="仿宋" w:eastAsia="仿宋" w:cs="仿宋"/>
                <w:sz w:val="24"/>
                <w:lang w:val="en-US" w:eastAsia="zh-CN"/>
              </w:rPr>
              <w:t>22</w:t>
            </w:r>
            <w:r>
              <w:rPr>
                <w:rFonts w:hint="eastAsia" w:ascii="仿宋" w:hAnsi="仿宋" w:eastAsia="仿宋" w:cs="仿宋"/>
                <w:sz w:val="24"/>
              </w:rPr>
              <w:t>〕</w:t>
            </w:r>
            <w:r>
              <w:rPr>
                <w:rFonts w:hint="eastAsia" w:ascii="仿宋" w:hAnsi="仿宋" w:eastAsia="仿宋" w:cs="仿宋"/>
                <w:sz w:val="24"/>
                <w:lang w:val="en-US" w:eastAsia="zh-CN"/>
              </w:rPr>
              <w:t>8</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w:t>
            </w:r>
          </w:p>
        </w:tc>
        <w:tc>
          <w:tcPr>
            <w:tcW w:w="7500"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rPr>
              <w:t>宁波市海曙区小微企业三年成长计划工作领导小组办公室关于印发《2022年海曙区“小微企业三年成长计划”工作要点》的通知</w:t>
            </w:r>
            <w:r>
              <w:rPr>
                <w:rFonts w:hint="eastAsia" w:ascii="仿宋" w:hAnsi="仿宋" w:eastAsia="仿宋" w:cs="仿宋"/>
                <w:sz w:val="24"/>
                <w:lang w:eastAsia="zh-CN"/>
              </w:rPr>
              <w:t>（</w:t>
            </w:r>
            <w:r>
              <w:rPr>
                <w:rFonts w:hint="eastAsia" w:ascii="仿宋" w:hAnsi="仿宋" w:eastAsia="仿宋" w:cs="仿宋"/>
                <w:sz w:val="24"/>
              </w:rPr>
              <w:t>海微办2022年1号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- 3 -</w:t>
                          </w:r>
                          <w:r>
                            <w:rPr>
                              <w:rFonts w:hint="eastAsia" w:ascii="仿宋" w:hAnsi="仿宋" w:eastAsia="仿宋" w:cs="仿宋"/>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- 3 -</w:t>
                    </w:r>
                    <w:r>
                      <w:rPr>
                        <w:rFonts w:hint="eastAsia" w:ascii="仿宋" w:hAnsi="仿宋" w:eastAsia="仿宋" w:cs="仿宋"/>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2519F"/>
    <w:rsid w:val="001075B5"/>
    <w:rsid w:val="001600A4"/>
    <w:rsid w:val="00261E7E"/>
    <w:rsid w:val="003D065D"/>
    <w:rsid w:val="004C73F9"/>
    <w:rsid w:val="00551D9B"/>
    <w:rsid w:val="00782607"/>
    <w:rsid w:val="007F6551"/>
    <w:rsid w:val="00C356D0"/>
    <w:rsid w:val="00D21520"/>
    <w:rsid w:val="00D262A6"/>
    <w:rsid w:val="00E90BEF"/>
    <w:rsid w:val="00EA1898"/>
    <w:rsid w:val="00F15F13"/>
    <w:rsid w:val="012A522F"/>
    <w:rsid w:val="018A3871"/>
    <w:rsid w:val="03543FEC"/>
    <w:rsid w:val="03E27A98"/>
    <w:rsid w:val="04D2519F"/>
    <w:rsid w:val="05A6232E"/>
    <w:rsid w:val="067A3519"/>
    <w:rsid w:val="07A922A4"/>
    <w:rsid w:val="0B9D2F25"/>
    <w:rsid w:val="0D5F6D00"/>
    <w:rsid w:val="0D917F55"/>
    <w:rsid w:val="0E2E3995"/>
    <w:rsid w:val="0FAE1532"/>
    <w:rsid w:val="10DF5AB2"/>
    <w:rsid w:val="1158553A"/>
    <w:rsid w:val="12197576"/>
    <w:rsid w:val="134D665D"/>
    <w:rsid w:val="150B45E9"/>
    <w:rsid w:val="17DC5786"/>
    <w:rsid w:val="18A26172"/>
    <w:rsid w:val="18E476FD"/>
    <w:rsid w:val="19C666DF"/>
    <w:rsid w:val="1A6B3AAC"/>
    <w:rsid w:val="1B425CED"/>
    <w:rsid w:val="1BFE772C"/>
    <w:rsid w:val="1E8B3656"/>
    <w:rsid w:val="229230F5"/>
    <w:rsid w:val="23276790"/>
    <w:rsid w:val="238C7819"/>
    <w:rsid w:val="23F75C87"/>
    <w:rsid w:val="24540BB9"/>
    <w:rsid w:val="257B1F3A"/>
    <w:rsid w:val="25990380"/>
    <w:rsid w:val="290D3338"/>
    <w:rsid w:val="29FF1E37"/>
    <w:rsid w:val="30C24722"/>
    <w:rsid w:val="31DB3034"/>
    <w:rsid w:val="3201520C"/>
    <w:rsid w:val="350460CB"/>
    <w:rsid w:val="357308E0"/>
    <w:rsid w:val="374A3C03"/>
    <w:rsid w:val="376C0933"/>
    <w:rsid w:val="377E54D2"/>
    <w:rsid w:val="37C82DC4"/>
    <w:rsid w:val="38453996"/>
    <w:rsid w:val="3846084E"/>
    <w:rsid w:val="38D424AE"/>
    <w:rsid w:val="39ED6C5D"/>
    <w:rsid w:val="3A235F1C"/>
    <w:rsid w:val="3A23698B"/>
    <w:rsid w:val="3AB1616C"/>
    <w:rsid w:val="3AEC1419"/>
    <w:rsid w:val="3EA2469B"/>
    <w:rsid w:val="3F871FB4"/>
    <w:rsid w:val="4190328A"/>
    <w:rsid w:val="42DB54C7"/>
    <w:rsid w:val="43A30B9F"/>
    <w:rsid w:val="45873D99"/>
    <w:rsid w:val="45975D53"/>
    <w:rsid w:val="468312E7"/>
    <w:rsid w:val="46CF0979"/>
    <w:rsid w:val="47A55753"/>
    <w:rsid w:val="47A5795E"/>
    <w:rsid w:val="4B7414E4"/>
    <w:rsid w:val="4E1801F0"/>
    <w:rsid w:val="4E711038"/>
    <w:rsid w:val="4FD64495"/>
    <w:rsid w:val="55043F4D"/>
    <w:rsid w:val="553D5B14"/>
    <w:rsid w:val="55DD0BB0"/>
    <w:rsid w:val="56924373"/>
    <w:rsid w:val="573352F1"/>
    <w:rsid w:val="590D7A9B"/>
    <w:rsid w:val="59585E67"/>
    <w:rsid w:val="599D5E9D"/>
    <w:rsid w:val="5ADF6442"/>
    <w:rsid w:val="5BA162E4"/>
    <w:rsid w:val="5DF143DD"/>
    <w:rsid w:val="5FA62B51"/>
    <w:rsid w:val="5FDF3E9D"/>
    <w:rsid w:val="5FE7326B"/>
    <w:rsid w:val="6046168B"/>
    <w:rsid w:val="605258E7"/>
    <w:rsid w:val="60677AC5"/>
    <w:rsid w:val="630064CD"/>
    <w:rsid w:val="630C7A47"/>
    <w:rsid w:val="6366559F"/>
    <w:rsid w:val="687C49E3"/>
    <w:rsid w:val="6A3B5D00"/>
    <w:rsid w:val="6B3C418C"/>
    <w:rsid w:val="6BB44FBF"/>
    <w:rsid w:val="6D5E7258"/>
    <w:rsid w:val="6F554D7F"/>
    <w:rsid w:val="6FAF4464"/>
    <w:rsid w:val="70A214EE"/>
    <w:rsid w:val="73E23F20"/>
    <w:rsid w:val="74AE2BDF"/>
    <w:rsid w:val="74D3638B"/>
    <w:rsid w:val="783543FE"/>
    <w:rsid w:val="793058E0"/>
    <w:rsid w:val="79E9671B"/>
    <w:rsid w:val="7A8B2DC5"/>
    <w:rsid w:val="7B7D14DC"/>
    <w:rsid w:val="7BBE0A60"/>
    <w:rsid w:val="7D6241A6"/>
    <w:rsid w:val="7FE8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rPr>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qFormat/>
    <w:uiPriority w:val="99"/>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555555"/>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285</Words>
  <Characters>1630</Characters>
  <Lines>13</Lines>
  <Paragraphs>3</Paragraphs>
  <TotalTime>3</TotalTime>
  <ScaleCrop>false</ScaleCrop>
  <LinksUpToDate>false</LinksUpToDate>
  <CharactersWithSpaces>1912</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2019-11-13T13:20:00Z</dcterms:created>
  <dc:creator>是雨是乐</dc:creator>
  <cp:lastModifiedBy>Lenovo</cp:lastModifiedBy>
  <cp:lastPrinted>2020-01-06T07:47:00Z</cp:lastPrinted>
  <dcterms:modified xsi:type="dcterms:W3CDTF">2022-04-18T02:28:34Z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F85B35D03C3843CDBB6A6F43A1C36C26</vt:lpwstr>
  </property>
</Properties>
</file>