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</w:rPr>
        <w:t>2020年海曙区专职党务工作者招聘计划表</w:t>
      </w:r>
    </w:p>
    <w:bookmarkEnd w:id="0"/>
    <w:p>
      <w:pPr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6"/>
        <w:gridCol w:w="46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招聘单位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招聘人数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横街镇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鄞江镇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洞桥镇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章水镇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龙观乡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石碶街道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江厦街道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白云街道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望春街道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段塘街道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合计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15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D69F3"/>
    <w:rsid w:val="6ABD69F3"/>
    <w:rsid w:val="7391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uiPriority w:val="0"/>
    <w:rPr>
      <w:rFonts w:ascii="Calibri" w:hAnsi="Calibri" w:eastAsia="方正小标宋简体" w:cs="Times New Roman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2020-06-08T02:22:00Z</dcterms:created>
  <dc:creator>若只如初见</dc:creator>
  <cp:lastModifiedBy>若只如初见</cp:lastModifiedBy>
  <dcterms:modified xsi:type="dcterms:W3CDTF">2020-06-08T02:23:21Z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