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2019年度海曙区政务公开</w:t>
      </w:r>
      <w:r>
        <w:rPr>
          <w:rFonts w:hint="eastAsia" w:ascii="方正小标宋简体" w:hAnsi="方正小标宋简体" w:eastAsia="方正小标宋简体" w:cs="方正小标宋简体"/>
          <w:color w:val="000000"/>
          <w:sz w:val="44"/>
          <w:szCs w:val="44"/>
        </w:rPr>
        <w:t>项目</w:t>
      </w: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目标管理考核办法</w:t>
      </w:r>
    </w:p>
    <w:p>
      <w:pPr>
        <w:tabs>
          <w:tab w:val="left" w:pos="2450"/>
        </w:tabs>
        <w:spacing w:line="600" w:lineRule="exact"/>
        <w:ind w:firstLine="645"/>
        <w:rPr>
          <w:rFonts w:hint="eastAsia" w:ascii="仿宋_GB2312" w:eastAsia="仿宋_GB2312"/>
          <w:snapToGrid w:val="0"/>
          <w:spacing w:val="-4"/>
          <w:sz w:val="32"/>
        </w:rPr>
      </w:pPr>
    </w:p>
    <w:p>
      <w:pPr>
        <w:tabs>
          <w:tab w:val="left" w:pos="2450"/>
        </w:tabs>
        <w:spacing w:line="600" w:lineRule="exact"/>
        <w:ind w:firstLine="645"/>
        <w:rPr>
          <w:rFonts w:hint="eastAsia" w:ascii="仿宋_GB2312" w:eastAsia="仿宋_GB2312"/>
          <w:snapToGrid w:val="0"/>
          <w:spacing w:val="-4"/>
          <w:sz w:val="32"/>
        </w:rPr>
      </w:pPr>
      <w:r>
        <w:rPr>
          <w:rFonts w:hint="eastAsia" w:ascii="仿宋_GB2312" w:eastAsia="仿宋_GB2312"/>
          <w:snapToGrid w:val="0"/>
          <w:spacing w:val="-4"/>
          <w:sz w:val="32"/>
        </w:rPr>
        <w:t>为深入贯彻落实《中华人民共和国政府信息公开条例》，根据《宁波市人民政府办公厅关于印发2019年宁波市政务公开工作要点的通知》（甬政办发〔2019〕</w:t>
      </w:r>
      <w:r>
        <w:rPr>
          <w:rFonts w:hint="eastAsia" w:ascii="仿宋_GB2312" w:eastAsia="仿宋_GB2312"/>
          <w:spacing w:val="-4"/>
          <w:sz w:val="32"/>
        </w:rPr>
        <w:t>45号）</w:t>
      </w:r>
      <w:r>
        <w:rPr>
          <w:rFonts w:hint="eastAsia" w:ascii="仿宋_GB2312" w:eastAsia="仿宋_GB2312"/>
          <w:snapToGrid w:val="0"/>
          <w:spacing w:val="-4"/>
          <w:sz w:val="32"/>
        </w:rPr>
        <w:t>以及</w:t>
      </w:r>
      <w:r>
        <w:rPr>
          <w:rFonts w:hint="eastAsia" w:ascii="仿宋_GB2312" w:hAnsi="仿宋_GB2312" w:eastAsia="仿宋_GB2312" w:cs="仿宋_GB2312"/>
          <w:sz w:val="32"/>
          <w:szCs w:val="32"/>
        </w:rPr>
        <w:t>《宁波市海曙区人民政府办公室关于印发2019年宁波市海曙区政务公开工作要点的通知》(海政办发〔2019〕26号)</w:t>
      </w:r>
      <w:r>
        <w:rPr>
          <w:rFonts w:hint="eastAsia" w:ascii="仿宋_GB2312" w:eastAsia="仿宋_GB2312"/>
          <w:spacing w:val="-4"/>
          <w:sz w:val="32"/>
        </w:rPr>
        <w:t>规定</w:t>
      </w:r>
      <w:r>
        <w:rPr>
          <w:rFonts w:hint="eastAsia" w:ascii="仿宋_GB2312" w:eastAsia="仿宋_GB2312"/>
          <w:snapToGrid w:val="0"/>
          <w:spacing w:val="-4"/>
          <w:sz w:val="32"/>
        </w:rPr>
        <w:t>，进一步推进我区政务公开工作，</w:t>
      </w:r>
      <w:r>
        <w:rPr>
          <w:rFonts w:hint="eastAsia" w:ascii="仿宋_GB2312" w:eastAsia="仿宋_GB2312"/>
          <w:spacing w:val="-4"/>
          <w:sz w:val="32"/>
        </w:rPr>
        <w:t>特制定本考核办法。</w:t>
      </w:r>
    </w:p>
    <w:p>
      <w:pPr>
        <w:spacing w:line="600" w:lineRule="exact"/>
        <w:ind w:firstLine="630"/>
        <w:rPr>
          <w:rFonts w:hint="eastAsia" w:ascii="黑体" w:eastAsia="黑体"/>
          <w:snapToGrid w:val="0"/>
          <w:spacing w:val="-4"/>
          <w:sz w:val="32"/>
        </w:rPr>
      </w:pPr>
      <w:r>
        <w:rPr>
          <w:rFonts w:hint="eastAsia" w:ascii="黑体" w:eastAsia="黑体"/>
          <w:spacing w:val="-4"/>
          <w:sz w:val="32"/>
          <w:szCs w:val="21"/>
        </w:rPr>
        <w:t xml:space="preserve"> 一、</w:t>
      </w:r>
      <w:r>
        <w:rPr>
          <w:rFonts w:hint="eastAsia" w:ascii="黑体" w:eastAsia="黑体"/>
          <w:snapToGrid w:val="0"/>
          <w:spacing w:val="-4"/>
          <w:sz w:val="32"/>
        </w:rPr>
        <w:t>考核方式及分值</w:t>
      </w:r>
    </w:p>
    <w:p>
      <w:pPr>
        <w:spacing w:line="600" w:lineRule="exact"/>
        <w:ind w:firstLine="630"/>
        <w:rPr>
          <w:rFonts w:hint="eastAsia" w:ascii="仿宋_GB2312" w:eastAsia="仿宋_GB2312"/>
          <w:snapToGrid w:val="0"/>
          <w:spacing w:val="-4"/>
          <w:sz w:val="32"/>
        </w:rPr>
      </w:pPr>
      <w:r>
        <w:rPr>
          <w:rFonts w:hint="eastAsia" w:ascii="仿宋_GB2312" w:eastAsia="仿宋_GB2312"/>
          <w:snapToGrid w:val="0"/>
          <w:spacing w:val="-4"/>
          <w:sz w:val="32"/>
        </w:rPr>
        <w:t>（一）政务公开考核工作由区政府办公室牵头组织实施。采取日常考核、季度测评和年终考评相结合的方式，根据日常工作开展情况，通过网站普查、第三方测评、季度通报与年度报告相结合的考核方式。实行百分制量化考核，对完成基本工作任务的被考核单位赋予基本分100分，将现阶段重点和特色创新工作设为加分项，把发现有未遵守考核有关规定的行为设为扣分项，评价得分=100分+加分项得分-扣分项得分。</w:t>
      </w:r>
    </w:p>
    <w:p>
      <w:pPr>
        <w:spacing w:line="600" w:lineRule="exact"/>
        <w:ind w:firstLine="630"/>
        <w:rPr>
          <w:rFonts w:hint="eastAsia" w:ascii="仿宋_GB2312" w:eastAsia="仿宋_GB2312"/>
          <w:snapToGrid w:val="0"/>
          <w:spacing w:val="-4"/>
          <w:sz w:val="32"/>
        </w:rPr>
      </w:pPr>
      <w:r>
        <w:rPr>
          <w:rFonts w:hint="eastAsia" w:ascii="仿宋_GB2312" w:eastAsia="仿宋_GB2312"/>
          <w:snapToGrid w:val="0"/>
          <w:spacing w:val="-4"/>
          <w:sz w:val="32"/>
        </w:rPr>
        <w:t>（二）今年区级机关政务公开考核基本分为2分，各镇（乡）街道考核基本分为1分，考核得分按照上述评价得分为依据，最终考核分按照评价得分情况进行定档赋分。</w:t>
      </w:r>
    </w:p>
    <w:p>
      <w:pPr>
        <w:spacing w:line="600" w:lineRule="exact"/>
        <w:ind w:firstLine="640" w:firstLineChars="200"/>
        <w:rPr>
          <w:rFonts w:hint="eastAsia" w:eastAsia="黑体"/>
          <w:sz w:val="32"/>
          <w:szCs w:val="32"/>
        </w:rPr>
      </w:pPr>
      <w:r>
        <w:rPr>
          <w:rFonts w:hint="eastAsia" w:eastAsia="黑体"/>
          <w:sz w:val="32"/>
          <w:szCs w:val="32"/>
        </w:rPr>
        <w:t>二、有关要求</w:t>
      </w:r>
    </w:p>
    <w:p>
      <w:pPr>
        <w:spacing w:line="600" w:lineRule="exact"/>
        <w:ind w:firstLine="624" w:firstLineChars="200"/>
        <w:rPr>
          <w:rFonts w:hint="eastAsia" w:ascii="仿宋_GB2312" w:eastAsia="仿宋_GB2312"/>
          <w:snapToGrid w:val="0"/>
          <w:spacing w:val="-4"/>
          <w:sz w:val="32"/>
        </w:rPr>
      </w:pPr>
      <w:r>
        <w:rPr>
          <w:rFonts w:hint="eastAsia" w:ascii="仿宋_GB2312" w:eastAsia="仿宋_GB2312"/>
          <w:snapToGrid w:val="0"/>
          <w:spacing w:val="-4"/>
          <w:sz w:val="32"/>
        </w:rPr>
        <w:t>各单位要认真贯彻落实党中央、国务院和省、市党委政府关于全面推进政务公开工作的系列部署，按照《宁波市海曙区人民政府办公室关于印发2019年宁波市海曙区政务公开工作要点的通知》（海政办发〔2019〕26</w:t>
      </w:r>
      <w:r>
        <w:rPr>
          <w:rFonts w:hint="eastAsia" w:ascii="仿宋_GB2312" w:eastAsia="仿宋_GB2312"/>
          <w:spacing w:val="-4"/>
          <w:sz w:val="32"/>
        </w:rPr>
        <w:t>号）规定的任务分解要求</w:t>
      </w:r>
      <w:r>
        <w:rPr>
          <w:rFonts w:hint="eastAsia" w:ascii="仿宋_GB2312" w:eastAsia="仿宋_GB2312"/>
          <w:snapToGrid w:val="0"/>
          <w:spacing w:val="-4"/>
          <w:sz w:val="32"/>
        </w:rPr>
        <w:t>，结合本单位主要职责和工作实际，扎实推进重点领域信息公开，强化解读回应，增强公开实效，持续推动我区政务公开工作再上新台阶，为建设法治政府、服务型政府作出贡献。</w:t>
      </w:r>
    </w:p>
    <w:p>
      <w:pPr>
        <w:spacing w:line="600" w:lineRule="exact"/>
        <w:ind w:firstLine="624" w:firstLineChars="200"/>
        <w:rPr>
          <w:rFonts w:hint="eastAsia" w:ascii="仿宋_GB2312" w:eastAsia="仿宋_GB2312"/>
          <w:snapToGrid w:val="0"/>
          <w:spacing w:val="-4"/>
          <w:sz w:val="32"/>
        </w:rPr>
      </w:pPr>
    </w:p>
    <w:p>
      <w:pPr>
        <w:spacing w:line="600" w:lineRule="exact"/>
        <w:ind w:firstLine="624" w:firstLineChars="200"/>
        <w:rPr>
          <w:rFonts w:hint="eastAsia" w:ascii="仿宋_GB2312" w:eastAsia="仿宋_GB2312"/>
          <w:snapToGrid w:val="0"/>
          <w:color w:val="000000"/>
          <w:spacing w:val="-4"/>
          <w:sz w:val="32"/>
        </w:rPr>
      </w:pPr>
      <w:r>
        <w:rPr>
          <w:rFonts w:hint="eastAsia" w:ascii="仿宋_GB2312" w:eastAsia="仿宋_GB2312"/>
          <w:snapToGrid w:val="0"/>
          <w:spacing w:val="-4"/>
          <w:sz w:val="32"/>
        </w:rPr>
        <w:t>附件：1.2019年度列入政务公开</w:t>
      </w:r>
      <w:r>
        <w:rPr>
          <w:rFonts w:hint="eastAsia" w:ascii="仿宋_GB2312" w:eastAsia="仿宋_GB2312"/>
          <w:snapToGrid w:val="0"/>
          <w:color w:val="000000"/>
          <w:spacing w:val="-4"/>
          <w:sz w:val="32"/>
        </w:rPr>
        <w:t>项目目标管理考核单位</w:t>
      </w:r>
    </w:p>
    <w:p>
      <w:pPr>
        <w:spacing w:line="600" w:lineRule="exact"/>
        <w:ind w:firstLine="435"/>
        <w:rPr>
          <w:rFonts w:hint="eastAsia" w:ascii="仿宋_GB2312" w:eastAsia="仿宋_GB2312"/>
          <w:sz w:val="32"/>
          <w:szCs w:val="32"/>
        </w:rPr>
      </w:pPr>
      <w:r>
        <w:rPr>
          <w:rFonts w:hint="eastAsia" w:ascii="仿宋_GB2312" w:eastAsia="仿宋_GB2312"/>
          <w:color w:val="000000"/>
          <w:sz w:val="32"/>
          <w:szCs w:val="32"/>
        </w:rPr>
        <w:t xml:space="preserve">       2.2019年度政务公开项目</w:t>
      </w:r>
      <w:r>
        <w:rPr>
          <w:rFonts w:hint="eastAsia" w:ascii="仿宋_GB2312" w:eastAsia="仿宋_GB2312"/>
          <w:sz w:val="32"/>
          <w:szCs w:val="32"/>
        </w:rPr>
        <w:t>考核评分表</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rPr>
          <w:rFonts w:hint="eastAsia" w:ascii="黑体" w:hAnsi="黑体" w:eastAsia="黑体" w:cs="黑体"/>
          <w:spacing w:val="-4"/>
          <w:sz w:val="32"/>
          <w:szCs w:val="32"/>
        </w:rPr>
      </w:pPr>
    </w:p>
    <w:p>
      <w:pPr>
        <w:rPr>
          <w:rFonts w:hint="eastAsia" w:ascii="黑体" w:hAnsi="黑体" w:eastAsia="黑体" w:cs="黑体"/>
          <w:spacing w:val="-4"/>
          <w:sz w:val="32"/>
          <w:szCs w:val="32"/>
        </w:rPr>
      </w:pPr>
    </w:p>
    <w:p>
      <w:pPr>
        <w:rPr>
          <w:rFonts w:hint="eastAsia" w:ascii="黑体" w:hAnsi="黑体" w:eastAsia="黑体" w:cs="黑体"/>
          <w:spacing w:val="-4"/>
          <w:sz w:val="32"/>
          <w:szCs w:val="32"/>
        </w:rPr>
      </w:pPr>
    </w:p>
    <w:p>
      <w:pPr>
        <w:rPr>
          <w:rFonts w:hint="eastAsia" w:ascii="黑体" w:hAnsi="黑体" w:eastAsia="黑体" w:cs="黑体"/>
          <w:spacing w:val="-4"/>
          <w:sz w:val="32"/>
          <w:szCs w:val="32"/>
        </w:rPr>
      </w:pPr>
    </w:p>
    <w:p>
      <w:pPr>
        <w:spacing w:line="600" w:lineRule="exact"/>
        <w:rPr>
          <w:rFonts w:hint="eastAsia" w:ascii="黑体" w:hAnsi="黑体" w:eastAsia="黑体" w:cs="黑体"/>
          <w:spacing w:val="-4"/>
          <w:sz w:val="32"/>
          <w:szCs w:val="32"/>
        </w:rPr>
      </w:pPr>
      <w:r>
        <w:rPr>
          <w:rFonts w:hint="eastAsia" w:ascii="黑体" w:hAnsi="黑体" w:eastAsia="黑体" w:cs="黑体"/>
          <w:spacing w:val="-4"/>
          <w:sz w:val="32"/>
          <w:szCs w:val="32"/>
        </w:rPr>
        <w:t>附件1</w:t>
      </w:r>
    </w:p>
    <w:p>
      <w:pPr>
        <w:spacing w:line="600" w:lineRule="exact"/>
        <w:jc w:val="center"/>
        <w:rPr>
          <w:rFonts w:hint="eastAsia" w:ascii="方正小标宋简体" w:eastAsia="方正小标宋简体"/>
          <w:spacing w:val="-4"/>
          <w:sz w:val="44"/>
          <w:szCs w:val="44"/>
        </w:rPr>
      </w:pPr>
    </w:p>
    <w:p>
      <w:pPr>
        <w:spacing w:line="600" w:lineRule="exact"/>
        <w:jc w:val="center"/>
        <w:rPr>
          <w:rFonts w:hint="eastAsia" w:ascii="方正小标宋简体" w:eastAsia="方正小标宋简体"/>
          <w:spacing w:val="-4"/>
          <w:sz w:val="44"/>
          <w:szCs w:val="44"/>
        </w:rPr>
      </w:pPr>
      <w:r>
        <w:rPr>
          <w:rFonts w:hint="eastAsia" w:ascii="方正小标宋简体" w:eastAsia="方正小标宋简体"/>
          <w:spacing w:val="-4"/>
          <w:sz w:val="44"/>
          <w:szCs w:val="44"/>
        </w:rPr>
        <w:t>2019年度列入政务公开</w:t>
      </w:r>
      <w:r>
        <w:rPr>
          <w:rFonts w:hint="eastAsia" w:ascii="方正小标宋简体" w:eastAsia="方正小标宋简体"/>
          <w:color w:val="000000"/>
          <w:spacing w:val="-4"/>
          <w:sz w:val="44"/>
          <w:szCs w:val="44"/>
        </w:rPr>
        <w:t>项目</w:t>
      </w:r>
      <w:r>
        <w:rPr>
          <w:rFonts w:hint="eastAsia" w:ascii="方正小标宋简体" w:eastAsia="方正小标宋简体"/>
          <w:spacing w:val="-4"/>
          <w:sz w:val="44"/>
          <w:szCs w:val="44"/>
        </w:rPr>
        <w:t>目标管理考核单位</w:t>
      </w:r>
    </w:p>
    <w:p>
      <w:pPr>
        <w:spacing w:line="600" w:lineRule="exact"/>
        <w:jc w:val="left"/>
        <w:rPr>
          <w:rFonts w:hint="eastAsia" w:ascii="仿宋_GB2312" w:eastAsia="仿宋_GB2312"/>
          <w:snapToGrid w:val="0"/>
          <w:spacing w:val="-4"/>
          <w:sz w:val="32"/>
        </w:rPr>
      </w:pPr>
    </w:p>
    <w:p>
      <w:pPr>
        <w:spacing w:line="600" w:lineRule="exact"/>
        <w:ind w:firstLine="624" w:firstLineChars="200"/>
        <w:jc w:val="left"/>
        <w:rPr>
          <w:rFonts w:hint="eastAsia" w:ascii="仿宋_GB2312" w:eastAsia="仿宋_GB2312"/>
          <w:snapToGrid w:val="0"/>
          <w:spacing w:val="-4"/>
          <w:sz w:val="32"/>
        </w:rPr>
      </w:pPr>
      <w:r>
        <w:rPr>
          <w:rFonts w:hint="eastAsia" w:ascii="仿宋_GB2312" w:eastAsia="仿宋_GB2312"/>
          <w:snapToGrid w:val="0"/>
          <w:spacing w:val="-4"/>
          <w:sz w:val="32"/>
        </w:rPr>
        <w:t>集士港镇、古林镇、高桥镇、横街镇、鄞江镇、洞桥镇、章水镇、龙观乡、石碶街道、月湖街道、西门街道、江厦街道、南门街道、鼓楼街道、白云街道、望春街道、段塘街道、区发改局、区经信局、区教育局、区科技局、海曙公安分局、区民政局、区司法局、区财政局、区人力社保局、区住建局、区交通局、区农业农村局、区商务局、区文广旅游体育局、区卫生健康局、区退役军人事务局、区应急管理局、区审计局、区市场监管局、区统计局、区医保局、区综合执法局、区经合局、区政务服务办、区金融服务中心、区征收办（重点工程指挥部）、区旧村改造管理服务中心、自然资源规划分局、海曙区税务局、生态环境局、气象局。</w:t>
      </w:r>
    </w:p>
    <w:p>
      <w:pPr>
        <w:spacing w:line="360" w:lineRule="auto"/>
        <w:ind w:firstLine="624" w:firstLineChars="200"/>
        <w:jc w:val="left"/>
        <w:rPr>
          <w:rFonts w:hint="eastAsia" w:ascii="仿宋_GB2312" w:eastAsia="仿宋_GB2312"/>
          <w:snapToGrid w:val="0"/>
          <w:spacing w:val="-4"/>
          <w:sz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sectPr>
          <w:footerReference r:id="rId3" w:type="default"/>
          <w:pgSz w:w="11906" w:h="16838"/>
          <w:pgMar w:top="1417" w:right="1417" w:bottom="1417" w:left="1417" w:header="851" w:footer="992" w:gutter="0"/>
          <w:pgNumType w:fmt="numberInDash"/>
          <w:cols w:space="720" w:num="1"/>
          <w:docGrid w:linePitch="312" w:charSpace="0"/>
        </w:sectPr>
      </w:pPr>
    </w:p>
    <w:p>
      <w:pPr>
        <w:jc w:val="left"/>
        <w:rPr>
          <w:rFonts w:hint="eastAsia" w:ascii="黑体" w:hAnsi="黑体" w:eastAsia="黑体" w:cs="黑体"/>
          <w:snapToGrid w:val="0"/>
          <w:spacing w:val="-4"/>
          <w:sz w:val="32"/>
        </w:rPr>
      </w:pPr>
      <w:r>
        <w:rPr>
          <w:rFonts w:hint="eastAsia" w:ascii="黑体" w:hAnsi="黑体" w:eastAsia="黑体" w:cs="黑体"/>
          <w:snapToGrid w:val="0"/>
          <w:spacing w:val="-4"/>
          <w:sz w:val="32"/>
        </w:rPr>
        <w:t>附件2</w:t>
      </w:r>
    </w:p>
    <w:p>
      <w:pPr>
        <w:jc w:val="left"/>
        <w:rPr>
          <w:rFonts w:hint="eastAsia" w:ascii="黑体" w:hAnsi="黑体" w:eastAsia="黑体"/>
          <w:snapToGrid w:val="0"/>
          <w:spacing w:val="-4"/>
          <w:sz w:val="32"/>
        </w:rPr>
      </w:pPr>
    </w:p>
    <w:p>
      <w:pPr>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2019年度政务公开</w:t>
      </w:r>
      <w:r>
        <w:rPr>
          <w:rFonts w:hint="eastAsia" w:ascii="方正小标宋简体" w:hAnsi="方正小标宋简体" w:eastAsia="方正小标宋简体" w:cs="方正小标宋简体"/>
          <w:color w:val="000000"/>
          <w:spacing w:val="-4"/>
          <w:sz w:val="44"/>
          <w:szCs w:val="44"/>
        </w:rPr>
        <w:t>项目</w:t>
      </w:r>
      <w:r>
        <w:rPr>
          <w:rFonts w:hint="eastAsia" w:ascii="方正小标宋简体" w:hAnsi="方正小标宋简体" w:eastAsia="方正小标宋简体" w:cs="方正小标宋简体"/>
          <w:spacing w:val="-4"/>
          <w:sz w:val="44"/>
          <w:szCs w:val="44"/>
        </w:rPr>
        <w:t>考核评分表</w:t>
      </w:r>
    </w:p>
    <w:p>
      <w:pPr>
        <w:rPr>
          <w:rFonts w:hint="eastAsia" w:ascii="仿宋_GB2312" w:eastAsia="仿宋_GB2312"/>
          <w:snapToGrid w:val="0"/>
          <w:spacing w:val="-4"/>
          <w:sz w:val="32"/>
        </w:rPr>
      </w:pPr>
      <w:r>
        <w:rPr>
          <w:rFonts w:hint="eastAsia" w:ascii="仿宋_GB2312" w:eastAsia="仿宋_GB2312"/>
          <w:snapToGrid w:val="0"/>
          <w:spacing w:val="-4"/>
          <w:sz w:val="32"/>
        </w:rPr>
        <w:t xml:space="preserve">  </w:t>
      </w:r>
    </w:p>
    <w:tbl>
      <w:tblPr>
        <w:tblStyle w:val="3"/>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6"/>
        <w:gridCol w:w="10142"/>
        <w:gridCol w:w="7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ind w:left="105" w:leftChars="50"/>
              <w:jc w:val="center"/>
              <w:rPr>
                <w:rFonts w:hint="eastAsia" w:ascii="仿宋_GB2312" w:eastAsia="仿宋_GB2312"/>
                <w:snapToGrid w:val="0"/>
                <w:spacing w:val="-4"/>
                <w:sz w:val="28"/>
                <w:szCs w:val="28"/>
              </w:rPr>
            </w:pPr>
            <w:r>
              <w:rPr>
                <w:rFonts w:hint="eastAsia" w:ascii="仿宋_GB2312" w:eastAsia="仿宋_GB2312"/>
                <w:snapToGrid w:val="0"/>
                <w:spacing w:val="-4"/>
                <w:sz w:val="28"/>
                <w:szCs w:val="28"/>
              </w:rPr>
              <w:t>项目</w:t>
            </w:r>
          </w:p>
        </w:tc>
        <w:tc>
          <w:tcPr>
            <w:tcW w:w="706" w:type="dxa"/>
            <w:noWrap w:val="0"/>
            <w:vAlign w:val="center"/>
          </w:tcPr>
          <w:p>
            <w:pPr>
              <w:jc w:val="center"/>
              <w:rPr>
                <w:rFonts w:hint="eastAsia" w:ascii="仿宋_GB2312" w:eastAsia="仿宋_GB2312"/>
                <w:snapToGrid w:val="0"/>
                <w:spacing w:val="-4"/>
                <w:sz w:val="28"/>
                <w:szCs w:val="28"/>
              </w:rPr>
            </w:pPr>
            <w:r>
              <w:rPr>
                <w:rFonts w:hint="eastAsia" w:ascii="仿宋_GB2312" w:eastAsia="仿宋_GB2312"/>
                <w:snapToGrid w:val="0"/>
                <w:spacing w:val="-4"/>
                <w:sz w:val="28"/>
                <w:szCs w:val="28"/>
              </w:rPr>
              <w:t>序号</w:t>
            </w:r>
          </w:p>
        </w:tc>
        <w:tc>
          <w:tcPr>
            <w:tcW w:w="10142" w:type="dxa"/>
            <w:noWrap w:val="0"/>
            <w:vAlign w:val="center"/>
          </w:tcPr>
          <w:p>
            <w:pPr>
              <w:jc w:val="center"/>
              <w:rPr>
                <w:rFonts w:hint="eastAsia" w:ascii="仿宋_GB2312" w:eastAsia="仿宋_GB2312"/>
                <w:snapToGrid w:val="0"/>
                <w:spacing w:val="-4"/>
                <w:sz w:val="28"/>
                <w:szCs w:val="28"/>
              </w:rPr>
            </w:pPr>
            <w:r>
              <w:rPr>
                <w:rFonts w:hint="eastAsia" w:ascii="仿宋_GB2312" w:eastAsia="仿宋_GB2312"/>
                <w:snapToGrid w:val="0"/>
                <w:spacing w:val="-4"/>
                <w:sz w:val="28"/>
                <w:szCs w:val="28"/>
              </w:rPr>
              <w:t>内容</w:t>
            </w:r>
          </w:p>
        </w:tc>
        <w:tc>
          <w:tcPr>
            <w:tcW w:w="776" w:type="dxa"/>
            <w:noWrap w:val="0"/>
            <w:vAlign w:val="center"/>
          </w:tcPr>
          <w:p>
            <w:pPr>
              <w:rPr>
                <w:rFonts w:hint="eastAsia" w:ascii="仿宋_GB2312" w:eastAsia="仿宋_GB2312"/>
                <w:snapToGrid w:val="0"/>
                <w:spacing w:val="-4"/>
                <w:sz w:val="28"/>
                <w:szCs w:val="28"/>
              </w:rPr>
            </w:pPr>
            <w:r>
              <w:rPr>
                <w:rFonts w:hint="eastAsia" w:ascii="仿宋_GB2312" w:eastAsia="仿宋_GB2312"/>
                <w:snapToGrid w:val="0"/>
                <w:spacing w:val="-4"/>
                <w:sz w:val="28"/>
                <w:szCs w:val="28"/>
              </w:rPr>
              <w:t>分值</w:t>
            </w:r>
          </w:p>
        </w:tc>
        <w:tc>
          <w:tcPr>
            <w:tcW w:w="1134" w:type="dxa"/>
            <w:noWrap w:val="0"/>
            <w:vAlign w:val="center"/>
          </w:tcPr>
          <w:p>
            <w:pPr>
              <w:rPr>
                <w:rFonts w:hint="eastAsia" w:ascii="仿宋_GB2312" w:eastAsia="仿宋_GB2312"/>
                <w:snapToGrid w:val="0"/>
                <w:spacing w:val="-4"/>
                <w:sz w:val="28"/>
                <w:szCs w:val="28"/>
              </w:rPr>
            </w:pPr>
            <w:r>
              <w:rPr>
                <w:rFonts w:hint="eastAsia" w:ascii="仿宋_GB2312" w:eastAsia="仿宋_GB2312"/>
                <w:snapToGrid w:val="0"/>
                <w:spacing w:val="-4"/>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817" w:type="dxa"/>
            <w:vMerge w:val="restart"/>
            <w:noWrap w:val="0"/>
            <w:vAlign w:val="center"/>
          </w:tcPr>
          <w:p>
            <w:pPr>
              <w:jc w:val="center"/>
              <w:rPr>
                <w:rFonts w:hint="eastAsia" w:ascii="仿宋_GB2312" w:eastAsia="仿宋_GB2312"/>
                <w:snapToGrid w:val="0"/>
                <w:spacing w:val="-4"/>
                <w:sz w:val="32"/>
              </w:rPr>
            </w:pPr>
          </w:p>
          <w:p>
            <w:pPr>
              <w:jc w:val="center"/>
              <w:rPr>
                <w:rFonts w:hint="eastAsia" w:ascii="仿宋_GB2312" w:eastAsia="仿宋_GB2312"/>
                <w:snapToGrid w:val="0"/>
                <w:spacing w:val="-4"/>
                <w:sz w:val="32"/>
              </w:rPr>
            </w:pPr>
          </w:p>
          <w:p>
            <w:pPr>
              <w:jc w:val="center"/>
              <w:rPr>
                <w:rFonts w:hint="eastAsia" w:ascii="仿宋_GB2312" w:eastAsia="仿宋_GB2312"/>
                <w:snapToGrid w:val="0"/>
                <w:spacing w:val="-4"/>
                <w:sz w:val="32"/>
              </w:rPr>
            </w:pPr>
          </w:p>
          <w:p>
            <w:pPr>
              <w:jc w:val="center"/>
              <w:rPr>
                <w:rFonts w:hint="eastAsia" w:ascii="仿宋_GB2312" w:eastAsia="仿宋_GB2312"/>
                <w:snapToGrid w:val="0"/>
                <w:spacing w:val="-4"/>
                <w:sz w:val="32"/>
              </w:rPr>
            </w:pPr>
          </w:p>
          <w:p>
            <w:pPr>
              <w:jc w:val="center"/>
              <w:rPr>
                <w:rFonts w:ascii="仿宋_GB2312" w:eastAsia="仿宋_GB2312"/>
                <w:snapToGrid w:val="0"/>
                <w:spacing w:val="-4"/>
                <w:sz w:val="32"/>
              </w:rPr>
            </w:pPr>
            <w:r>
              <w:rPr>
                <w:rFonts w:hint="eastAsia" w:ascii="仿宋_GB2312" w:eastAsia="仿宋_GB2312"/>
                <w:snapToGrid w:val="0"/>
                <w:spacing w:val="-4"/>
                <w:sz w:val="32"/>
              </w:rPr>
              <w:t>基本分</w:t>
            </w:r>
          </w:p>
          <w:p>
            <w:pPr>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（100分）</w:t>
            </w:r>
          </w:p>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1</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在信息公开平台机构概况中公开的领导信息、机关职能、机构设置、办公地址、联系电话等基本信息动态更新、准确无误。</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5</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17" w:type="dxa"/>
            <w:vMerge w:val="continue"/>
            <w:noWrap w:val="0"/>
            <w:vAlign w:val="center"/>
          </w:tcPr>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2</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按《政府信息公开条例》第十二条规定，主动公开本单位公开指南和公开目录并及时更新，指南中公布的工作机构名称、办公地址、办公时间、联系电话、传真号码、邮箱等基本信息准确无误。</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5</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817" w:type="dxa"/>
            <w:vMerge w:val="continue"/>
            <w:noWrap w:val="0"/>
            <w:vAlign w:val="center"/>
          </w:tcPr>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3</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按照《政府信息公开条例》有关规定，全面、及时、准确发布本单位年度报告。</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5</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17" w:type="dxa"/>
            <w:vMerge w:val="continue"/>
            <w:noWrap w:val="0"/>
            <w:vAlign w:val="center"/>
          </w:tcPr>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4</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按照网站普查工作要求，本单位网站各栏目更新及时、格式正确，未发生超时更新或格式不规范被上级通报现象。</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10</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17" w:type="dxa"/>
            <w:vMerge w:val="continue"/>
            <w:noWrap w:val="0"/>
            <w:vAlign w:val="center"/>
          </w:tcPr>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5</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涉及公共利益和公众权益的重大事项，主动向社会公布决策草案、决策依据，通过信息公开平台重大决策栏目主动公开征求公众意见和意见采纳情况。</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10</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817" w:type="dxa"/>
            <w:vMerge w:val="continue"/>
            <w:noWrap w:val="0"/>
            <w:vAlign w:val="center"/>
          </w:tcPr>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6</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区级各有关部门根据《关于印发2019年宁波市海曙区政务公开工作要点的通知》（海政办发〔2019〕26号）文件要求，按照任务分解和各单位职责分工，公开重大建设项目批准和实施、公共资源配置、社会公益事业建设领域政府信息公开，及时发布金融改革、精准扶贫、生态环境等三大攻坚战等重点领域信息。</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30</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817" w:type="dxa"/>
            <w:vMerge w:val="continue"/>
            <w:noWrap w:val="0"/>
            <w:vAlign w:val="center"/>
          </w:tcPr>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7</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按规定时限、格式、内容公开本年度财政预算、三公经费及上年度财政决算等财政信息。</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5</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817" w:type="dxa"/>
            <w:vMerge w:val="continue"/>
            <w:noWrap w:val="0"/>
            <w:vAlign w:val="center"/>
          </w:tcPr>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8</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按照《关于推进政务新媒体健康有序发展的通知》（海政办发〔2019〕24号）规定，建设、维护好本单位政务微博、微信，理顺管理机制，建立工作制度，在以“海曙发布”为龙头的全区政务发布矩阵建设中发挥积极作用。</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10</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17" w:type="dxa"/>
            <w:vMerge w:val="continue"/>
            <w:noWrap w:val="0"/>
            <w:vAlign w:val="center"/>
          </w:tcPr>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9</w:t>
            </w:r>
          </w:p>
        </w:tc>
        <w:tc>
          <w:tcPr>
            <w:tcW w:w="10142" w:type="dxa"/>
            <w:noWrap w:val="0"/>
            <w:vAlign w:val="center"/>
          </w:tcPr>
          <w:p>
            <w:pPr>
              <w:widowControl/>
              <w:adjustRightInd w:val="0"/>
              <w:snapToGrid w:val="0"/>
              <w:spacing w:line="240" w:lineRule="atLeas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依法、规范、及时答复依申请公开政府信息申请，按规定向区政府办公室报备答复及复议、诉讼情况，做好因政府信息公开引起的行政复议和诉讼。</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10</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17" w:type="dxa"/>
            <w:vMerge w:val="continue"/>
            <w:noWrap w:val="0"/>
            <w:vAlign w:val="center"/>
          </w:tcPr>
          <w:p>
            <w:pPr>
              <w:jc w:val="center"/>
              <w:rPr>
                <w:rFonts w:hint="eastAsia"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10</w:t>
            </w:r>
          </w:p>
        </w:tc>
        <w:tc>
          <w:tcPr>
            <w:tcW w:w="10142" w:type="dxa"/>
            <w:noWrap w:val="0"/>
            <w:vAlign w:val="center"/>
          </w:tcPr>
          <w:p>
            <w:pPr>
              <w:widowControl/>
              <w:adjustRightInd w:val="0"/>
              <w:snapToGrid w:val="0"/>
              <w:spacing w:line="240" w:lineRule="atLeas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进一步理顺和完善领导体制和工作机制，加强政务公开制度建设，配齐配强工作人员，及时按要求完成上级布置和交办的各项工作任务。</w:t>
            </w:r>
          </w:p>
        </w:tc>
        <w:tc>
          <w:tcPr>
            <w:tcW w:w="77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10</w:t>
            </w:r>
          </w:p>
        </w:tc>
        <w:tc>
          <w:tcPr>
            <w:tcW w:w="1134" w:type="dxa"/>
            <w:noWrap w:val="0"/>
            <w:vAlign w:val="top"/>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17" w:type="dxa"/>
            <w:vMerge w:val="restart"/>
            <w:noWrap w:val="0"/>
            <w:vAlign w:val="top"/>
          </w:tcPr>
          <w:p>
            <w:pPr>
              <w:jc w:val="center"/>
              <w:rPr>
                <w:rFonts w:hint="eastAsia" w:ascii="仿宋_GB2312" w:eastAsia="仿宋_GB2312"/>
                <w:snapToGrid w:val="0"/>
                <w:spacing w:val="-4"/>
                <w:sz w:val="32"/>
              </w:rPr>
            </w:pPr>
            <w:r>
              <w:rPr>
                <w:rFonts w:hint="eastAsia" w:ascii="仿宋_GB2312" w:eastAsia="仿宋_GB2312"/>
                <w:snapToGrid w:val="0"/>
                <w:spacing w:val="-4"/>
                <w:sz w:val="32"/>
              </w:rPr>
              <w:t>加</w:t>
            </w:r>
          </w:p>
          <w:p>
            <w:pPr>
              <w:jc w:val="center"/>
              <w:rPr>
                <w:rFonts w:hint="eastAsia" w:ascii="仿宋_GB2312" w:eastAsia="仿宋_GB2312"/>
                <w:snapToGrid w:val="0"/>
                <w:spacing w:val="-4"/>
                <w:sz w:val="32"/>
              </w:rPr>
            </w:pPr>
          </w:p>
          <w:p>
            <w:pPr>
              <w:jc w:val="center"/>
              <w:rPr>
                <w:rFonts w:hint="eastAsia" w:ascii="仿宋_GB2312" w:eastAsia="仿宋_GB2312"/>
                <w:snapToGrid w:val="0"/>
                <w:spacing w:val="-4"/>
                <w:sz w:val="32"/>
              </w:rPr>
            </w:pPr>
            <w:r>
              <w:rPr>
                <w:rFonts w:hint="eastAsia" w:ascii="仿宋_GB2312" w:eastAsia="仿宋_GB2312"/>
                <w:snapToGrid w:val="0"/>
                <w:spacing w:val="-4"/>
                <w:sz w:val="32"/>
              </w:rPr>
              <w:t>分</w:t>
            </w:r>
          </w:p>
          <w:p>
            <w:pPr>
              <w:jc w:val="center"/>
              <w:rPr>
                <w:rFonts w:hint="eastAsia" w:ascii="仿宋_GB2312" w:eastAsia="仿宋_GB2312"/>
                <w:snapToGrid w:val="0"/>
                <w:spacing w:val="-4"/>
                <w:sz w:val="32"/>
              </w:rPr>
            </w:pPr>
          </w:p>
          <w:p>
            <w:pPr>
              <w:jc w:val="center"/>
              <w:rPr>
                <w:rFonts w:ascii="仿宋_GB2312" w:eastAsia="仿宋_GB2312"/>
                <w:snapToGrid w:val="0"/>
                <w:spacing w:val="-4"/>
                <w:sz w:val="32"/>
              </w:rPr>
            </w:pPr>
            <w:r>
              <w:rPr>
                <w:rFonts w:hint="eastAsia" w:ascii="仿宋_GB2312" w:eastAsia="仿宋_GB2312"/>
                <w:snapToGrid w:val="0"/>
                <w:spacing w:val="-4"/>
                <w:sz w:val="32"/>
              </w:rPr>
              <w:t>项</w:t>
            </w: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1</w:t>
            </w:r>
          </w:p>
        </w:tc>
        <w:tc>
          <w:tcPr>
            <w:tcW w:w="10142" w:type="dxa"/>
            <w:noWrap w:val="0"/>
            <w:vAlign w:val="center"/>
          </w:tcPr>
          <w:p>
            <w:pPr>
              <w:widowControl/>
              <w:adjustRightInd w:val="0"/>
              <w:snapToGrid w:val="0"/>
              <w:spacing w:line="240" w:lineRule="atLeas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按照海政办发〔2019〕26号文件中规定的任务分解精准公开涉及本单位职责的重点领域信息，主动公开政府信息数量多、质量高，季度通报排名靠前的，酌情加5-10分。</w:t>
            </w:r>
          </w:p>
        </w:tc>
        <w:tc>
          <w:tcPr>
            <w:tcW w:w="776" w:type="dxa"/>
            <w:noWrap w:val="0"/>
            <w:vAlign w:val="center"/>
          </w:tcPr>
          <w:p>
            <w:pPr>
              <w:rPr>
                <w:rFonts w:ascii="仿宋_GB2312" w:eastAsia="仿宋_GB2312"/>
                <w:snapToGrid w:val="0"/>
                <w:spacing w:val="-4"/>
                <w:sz w:val="32"/>
              </w:rPr>
            </w:pPr>
          </w:p>
        </w:tc>
        <w:tc>
          <w:tcPr>
            <w:tcW w:w="1134" w:type="dxa"/>
            <w:noWrap w:val="0"/>
            <w:vAlign w:val="center"/>
          </w:tcPr>
          <w:p>
            <w:pPr>
              <w:rPr>
                <w:rFonts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17" w:type="dxa"/>
            <w:vMerge w:val="continue"/>
            <w:noWrap w:val="0"/>
            <w:vAlign w:val="top"/>
          </w:tcPr>
          <w:p>
            <w:pPr>
              <w:rPr>
                <w:rFonts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2</w:t>
            </w:r>
          </w:p>
        </w:tc>
        <w:tc>
          <w:tcPr>
            <w:tcW w:w="10142" w:type="dxa"/>
            <w:noWrap w:val="0"/>
            <w:vAlign w:val="center"/>
          </w:tcPr>
          <w:p>
            <w:pPr>
              <w:widowControl/>
              <w:adjustRightInd w:val="0"/>
              <w:snapToGrid w:val="0"/>
              <w:spacing w:line="240" w:lineRule="atLeas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在政府信息公开平台对本单位出台的政策进行政策解读，政策解读信息需与政策文件同步关联发布。每件加1分，满分5分。</w:t>
            </w:r>
          </w:p>
        </w:tc>
        <w:tc>
          <w:tcPr>
            <w:tcW w:w="776" w:type="dxa"/>
            <w:noWrap w:val="0"/>
            <w:vAlign w:val="center"/>
          </w:tcPr>
          <w:p>
            <w:pPr>
              <w:rPr>
                <w:rFonts w:ascii="仿宋_GB2312" w:eastAsia="仿宋_GB2312"/>
                <w:snapToGrid w:val="0"/>
                <w:spacing w:val="-4"/>
                <w:sz w:val="32"/>
              </w:rPr>
            </w:pPr>
          </w:p>
        </w:tc>
        <w:tc>
          <w:tcPr>
            <w:tcW w:w="1134" w:type="dxa"/>
            <w:noWrap w:val="0"/>
            <w:vAlign w:val="center"/>
          </w:tcPr>
          <w:p>
            <w:pPr>
              <w:rPr>
                <w:rFonts w:hint="eastAsia"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17" w:type="dxa"/>
            <w:vMerge w:val="continue"/>
            <w:noWrap w:val="0"/>
            <w:vAlign w:val="top"/>
          </w:tcPr>
          <w:p>
            <w:pPr>
              <w:rPr>
                <w:rFonts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3</w:t>
            </w:r>
          </w:p>
        </w:tc>
        <w:tc>
          <w:tcPr>
            <w:tcW w:w="10142" w:type="dxa"/>
            <w:noWrap w:val="0"/>
            <w:vAlign w:val="center"/>
          </w:tcPr>
          <w:p>
            <w:pPr>
              <w:widowControl/>
              <w:adjustRightInd w:val="0"/>
              <w:snapToGrid w:val="0"/>
              <w:spacing w:line="240" w:lineRule="atLeas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单位负责人通过新闻发布会、网络访谈等方式，深入宣传和解读政策，及时准确传递权威信息和政策意图的，每件加10分。</w:t>
            </w:r>
          </w:p>
        </w:tc>
        <w:tc>
          <w:tcPr>
            <w:tcW w:w="776" w:type="dxa"/>
            <w:noWrap w:val="0"/>
            <w:vAlign w:val="center"/>
          </w:tcPr>
          <w:p>
            <w:pPr>
              <w:rPr>
                <w:rFonts w:ascii="仿宋_GB2312" w:eastAsia="仿宋_GB2312"/>
                <w:snapToGrid w:val="0"/>
                <w:spacing w:val="-4"/>
                <w:sz w:val="32"/>
              </w:rPr>
            </w:pPr>
          </w:p>
        </w:tc>
        <w:tc>
          <w:tcPr>
            <w:tcW w:w="1134" w:type="dxa"/>
            <w:noWrap w:val="0"/>
            <w:vAlign w:val="center"/>
          </w:tcPr>
          <w:p>
            <w:pPr>
              <w:rPr>
                <w:rFonts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817" w:type="dxa"/>
            <w:vMerge w:val="continue"/>
            <w:noWrap w:val="0"/>
            <w:vAlign w:val="top"/>
          </w:tcPr>
          <w:p>
            <w:pPr>
              <w:rPr>
                <w:rFonts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4</w:t>
            </w:r>
          </w:p>
        </w:tc>
        <w:tc>
          <w:tcPr>
            <w:tcW w:w="10142" w:type="dxa"/>
            <w:noWrap w:val="0"/>
            <w:vAlign w:val="center"/>
          </w:tcPr>
          <w:p>
            <w:pPr>
              <w:widowControl/>
              <w:adjustRightInd w:val="0"/>
              <w:snapToGrid w:val="0"/>
              <w:spacing w:line="240" w:lineRule="atLeas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政务公开先进经验、特色亮点材料被国办、省政府网站录用或其他方式推广的，加10分。</w:t>
            </w:r>
          </w:p>
        </w:tc>
        <w:tc>
          <w:tcPr>
            <w:tcW w:w="776" w:type="dxa"/>
            <w:noWrap w:val="0"/>
            <w:vAlign w:val="center"/>
          </w:tcPr>
          <w:p>
            <w:pPr>
              <w:rPr>
                <w:rFonts w:ascii="仿宋_GB2312" w:eastAsia="仿宋_GB2312"/>
                <w:snapToGrid w:val="0"/>
                <w:spacing w:val="-4"/>
                <w:sz w:val="32"/>
              </w:rPr>
            </w:pPr>
          </w:p>
        </w:tc>
        <w:tc>
          <w:tcPr>
            <w:tcW w:w="1134" w:type="dxa"/>
            <w:noWrap w:val="0"/>
            <w:vAlign w:val="center"/>
          </w:tcPr>
          <w:p>
            <w:pPr>
              <w:rPr>
                <w:rFonts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1665" w:type="dxa"/>
            <w:gridSpan w:val="3"/>
            <w:noWrap w:val="0"/>
            <w:vAlign w:val="center"/>
          </w:tcPr>
          <w:p>
            <w:pPr>
              <w:rPr>
                <w:rFonts w:hint="eastAsia" w:ascii="仿宋_GB2312" w:eastAsia="仿宋_GB2312"/>
                <w:snapToGrid w:val="0"/>
                <w:spacing w:val="-4"/>
                <w:sz w:val="32"/>
              </w:rPr>
            </w:pPr>
            <w:r>
              <w:rPr>
                <w:rFonts w:hint="eastAsia" w:ascii="仿宋_GB2312" w:eastAsia="仿宋_GB2312"/>
                <w:snapToGrid w:val="0"/>
                <w:spacing w:val="-4"/>
                <w:sz w:val="32"/>
              </w:rPr>
              <w:t>加分项小计</w:t>
            </w:r>
          </w:p>
        </w:tc>
        <w:tc>
          <w:tcPr>
            <w:tcW w:w="776" w:type="dxa"/>
            <w:noWrap w:val="0"/>
            <w:vAlign w:val="center"/>
          </w:tcPr>
          <w:p>
            <w:pPr>
              <w:rPr>
                <w:rFonts w:ascii="仿宋_GB2312" w:eastAsia="仿宋_GB2312"/>
                <w:snapToGrid w:val="0"/>
                <w:spacing w:val="-4"/>
                <w:sz w:val="32"/>
              </w:rPr>
            </w:pPr>
          </w:p>
        </w:tc>
        <w:tc>
          <w:tcPr>
            <w:tcW w:w="1134" w:type="dxa"/>
            <w:noWrap w:val="0"/>
            <w:vAlign w:val="center"/>
          </w:tcPr>
          <w:p>
            <w:pPr>
              <w:rPr>
                <w:rFonts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17" w:type="dxa"/>
            <w:vMerge w:val="restart"/>
            <w:noWrap w:val="0"/>
            <w:vAlign w:val="top"/>
          </w:tcPr>
          <w:p>
            <w:pPr>
              <w:rPr>
                <w:rFonts w:hint="eastAsia" w:ascii="仿宋_GB2312" w:eastAsia="仿宋_GB2312"/>
                <w:snapToGrid w:val="0"/>
                <w:spacing w:val="-4"/>
                <w:sz w:val="32"/>
              </w:rPr>
            </w:pPr>
            <w:r>
              <w:rPr>
                <w:rFonts w:hint="eastAsia" w:ascii="仿宋_GB2312" w:eastAsia="仿宋_GB2312"/>
                <w:snapToGrid w:val="0"/>
                <w:spacing w:val="-4"/>
                <w:sz w:val="32"/>
              </w:rPr>
              <w:t xml:space="preserve">  </w:t>
            </w:r>
          </w:p>
          <w:p>
            <w:pPr>
              <w:rPr>
                <w:rFonts w:hint="eastAsia" w:ascii="仿宋_GB2312" w:eastAsia="仿宋_GB2312"/>
                <w:snapToGrid w:val="0"/>
                <w:spacing w:val="-4"/>
                <w:sz w:val="32"/>
              </w:rPr>
            </w:pPr>
            <w:r>
              <w:rPr>
                <w:rFonts w:hint="eastAsia" w:ascii="仿宋_GB2312" w:eastAsia="仿宋_GB2312"/>
                <w:snapToGrid w:val="0"/>
                <w:spacing w:val="-4"/>
                <w:sz w:val="32"/>
              </w:rPr>
              <w:t xml:space="preserve"> 扣</w:t>
            </w:r>
          </w:p>
          <w:p>
            <w:pPr>
              <w:rPr>
                <w:rFonts w:hint="eastAsia" w:ascii="仿宋_GB2312" w:eastAsia="仿宋_GB2312"/>
                <w:snapToGrid w:val="0"/>
                <w:spacing w:val="-4"/>
                <w:sz w:val="32"/>
              </w:rPr>
            </w:pPr>
          </w:p>
          <w:p>
            <w:pPr>
              <w:rPr>
                <w:rFonts w:hint="eastAsia" w:ascii="仿宋_GB2312" w:eastAsia="仿宋_GB2312"/>
                <w:snapToGrid w:val="0"/>
                <w:spacing w:val="-4"/>
                <w:sz w:val="32"/>
              </w:rPr>
            </w:pPr>
            <w:r>
              <w:rPr>
                <w:rFonts w:hint="eastAsia" w:ascii="仿宋_GB2312" w:eastAsia="仿宋_GB2312"/>
                <w:snapToGrid w:val="0"/>
                <w:spacing w:val="-4"/>
                <w:sz w:val="32"/>
              </w:rPr>
              <w:t xml:space="preserve"> 分</w:t>
            </w:r>
          </w:p>
          <w:p>
            <w:pPr>
              <w:rPr>
                <w:rFonts w:hint="eastAsia" w:ascii="仿宋_GB2312" w:eastAsia="仿宋_GB2312"/>
                <w:snapToGrid w:val="0"/>
                <w:spacing w:val="-4"/>
                <w:sz w:val="32"/>
              </w:rPr>
            </w:pPr>
          </w:p>
          <w:p>
            <w:pPr>
              <w:rPr>
                <w:rFonts w:hint="eastAsia" w:ascii="仿宋_GB2312" w:eastAsia="仿宋_GB2312"/>
                <w:snapToGrid w:val="0"/>
                <w:spacing w:val="-4"/>
                <w:sz w:val="32"/>
              </w:rPr>
            </w:pPr>
            <w:r>
              <w:rPr>
                <w:rFonts w:hint="eastAsia" w:ascii="仿宋_GB2312" w:eastAsia="仿宋_GB2312"/>
                <w:snapToGrid w:val="0"/>
                <w:spacing w:val="-4"/>
                <w:sz w:val="32"/>
              </w:rPr>
              <w:t xml:space="preserve"> 项</w:t>
            </w: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1</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未落实政府信息公开保密审查机制的，在政府信息公开工作中发生失密、泄密等事件的，每发现1件扣20分。</w:t>
            </w:r>
          </w:p>
        </w:tc>
        <w:tc>
          <w:tcPr>
            <w:tcW w:w="776" w:type="dxa"/>
            <w:noWrap w:val="0"/>
            <w:vAlign w:val="center"/>
          </w:tcPr>
          <w:p>
            <w:pPr>
              <w:rPr>
                <w:rFonts w:ascii="仿宋_GB2312" w:eastAsia="仿宋_GB2312"/>
                <w:snapToGrid w:val="0"/>
                <w:spacing w:val="-4"/>
                <w:sz w:val="32"/>
              </w:rPr>
            </w:pPr>
          </w:p>
        </w:tc>
        <w:tc>
          <w:tcPr>
            <w:tcW w:w="1134" w:type="dxa"/>
            <w:noWrap w:val="0"/>
            <w:vAlign w:val="center"/>
          </w:tcPr>
          <w:p>
            <w:pPr>
              <w:rPr>
                <w:rFonts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17" w:type="dxa"/>
            <w:vMerge w:val="continue"/>
            <w:noWrap w:val="0"/>
            <w:vAlign w:val="top"/>
          </w:tcPr>
          <w:p>
            <w:pPr>
              <w:rPr>
                <w:rFonts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2</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依申请公开未在法定期限内予以答复或答复不规范且未事先报备导致败诉的，每发现1件扣5分，累计扣分不超过20分。</w:t>
            </w:r>
          </w:p>
        </w:tc>
        <w:tc>
          <w:tcPr>
            <w:tcW w:w="776" w:type="dxa"/>
            <w:noWrap w:val="0"/>
            <w:vAlign w:val="center"/>
          </w:tcPr>
          <w:p>
            <w:pPr>
              <w:rPr>
                <w:rFonts w:ascii="仿宋_GB2312" w:eastAsia="仿宋_GB2312"/>
                <w:snapToGrid w:val="0"/>
                <w:spacing w:val="-4"/>
                <w:sz w:val="32"/>
              </w:rPr>
            </w:pPr>
          </w:p>
        </w:tc>
        <w:tc>
          <w:tcPr>
            <w:tcW w:w="1134" w:type="dxa"/>
            <w:noWrap w:val="0"/>
            <w:vAlign w:val="center"/>
          </w:tcPr>
          <w:p>
            <w:pPr>
              <w:rPr>
                <w:rFonts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17" w:type="dxa"/>
            <w:vMerge w:val="continue"/>
            <w:noWrap w:val="0"/>
            <w:vAlign w:val="top"/>
          </w:tcPr>
          <w:p>
            <w:pPr>
              <w:rPr>
                <w:rFonts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3</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信息公开平台发布的栏目信息因维护更新不及时、格式不准确、表述不规范等出现错误等被上级通报的，单次扣5分，2次以上扣10分。</w:t>
            </w:r>
          </w:p>
        </w:tc>
        <w:tc>
          <w:tcPr>
            <w:tcW w:w="776" w:type="dxa"/>
            <w:noWrap w:val="0"/>
            <w:vAlign w:val="center"/>
          </w:tcPr>
          <w:p>
            <w:pPr>
              <w:rPr>
                <w:rFonts w:ascii="仿宋_GB2312" w:eastAsia="仿宋_GB2312"/>
                <w:snapToGrid w:val="0"/>
                <w:spacing w:val="-4"/>
                <w:sz w:val="32"/>
              </w:rPr>
            </w:pPr>
          </w:p>
        </w:tc>
        <w:tc>
          <w:tcPr>
            <w:tcW w:w="1134" w:type="dxa"/>
            <w:noWrap w:val="0"/>
            <w:vAlign w:val="top"/>
          </w:tcPr>
          <w:p>
            <w:pPr>
              <w:rPr>
                <w:rFonts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17" w:type="dxa"/>
            <w:vMerge w:val="continue"/>
            <w:noWrap w:val="0"/>
            <w:vAlign w:val="top"/>
          </w:tcPr>
          <w:p>
            <w:pPr>
              <w:rPr>
                <w:rFonts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4</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未按上级要求完成年度工作任务，出现重大差错被上级通报批评的，单次扣5分，2次以上扣10分。</w:t>
            </w:r>
          </w:p>
        </w:tc>
        <w:tc>
          <w:tcPr>
            <w:tcW w:w="776" w:type="dxa"/>
            <w:noWrap w:val="0"/>
            <w:vAlign w:val="center"/>
          </w:tcPr>
          <w:p>
            <w:pPr>
              <w:rPr>
                <w:rFonts w:ascii="仿宋_GB2312" w:eastAsia="仿宋_GB2312"/>
                <w:snapToGrid w:val="0"/>
                <w:spacing w:val="-4"/>
                <w:sz w:val="32"/>
              </w:rPr>
            </w:pPr>
          </w:p>
        </w:tc>
        <w:tc>
          <w:tcPr>
            <w:tcW w:w="1134" w:type="dxa"/>
            <w:noWrap w:val="0"/>
            <w:vAlign w:val="top"/>
          </w:tcPr>
          <w:p>
            <w:pPr>
              <w:rPr>
                <w:rFonts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817" w:type="dxa"/>
            <w:vMerge w:val="continue"/>
            <w:noWrap w:val="0"/>
            <w:vAlign w:val="top"/>
          </w:tcPr>
          <w:p>
            <w:pPr>
              <w:rPr>
                <w:rFonts w:ascii="仿宋_GB2312" w:eastAsia="仿宋_GB2312"/>
                <w:snapToGrid w:val="0"/>
                <w:spacing w:val="-4"/>
                <w:sz w:val="32"/>
              </w:rPr>
            </w:pPr>
          </w:p>
        </w:tc>
        <w:tc>
          <w:tcPr>
            <w:tcW w:w="706" w:type="dxa"/>
            <w:noWrap w:val="0"/>
            <w:vAlign w:val="center"/>
          </w:tcPr>
          <w:p>
            <w:pPr>
              <w:jc w:val="center"/>
              <w:rPr>
                <w:rFonts w:hint="eastAsia" w:ascii="仿宋_GB2312" w:eastAsia="仿宋_GB2312"/>
                <w:snapToGrid w:val="0"/>
                <w:spacing w:val="-4"/>
                <w:sz w:val="24"/>
                <w:szCs w:val="24"/>
              </w:rPr>
            </w:pPr>
            <w:r>
              <w:rPr>
                <w:rFonts w:hint="eastAsia" w:ascii="仿宋_GB2312" w:eastAsia="仿宋_GB2312"/>
                <w:snapToGrid w:val="0"/>
                <w:spacing w:val="-4"/>
                <w:sz w:val="24"/>
                <w:szCs w:val="24"/>
              </w:rPr>
              <w:t>5</w:t>
            </w:r>
          </w:p>
        </w:tc>
        <w:tc>
          <w:tcPr>
            <w:tcW w:w="10142" w:type="dxa"/>
            <w:noWrap w:val="0"/>
            <w:vAlign w:val="center"/>
          </w:tcPr>
          <w:p>
            <w:pP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因突发事件不及时协调对外发布、舆情处置不力导致事态恶化，被上级通报批评的，单次扣5分，2次以上扣10分。</w:t>
            </w:r>
          </w:p>
        </w:tc>
        <w:tc>
          <w:tcPr>
            <w:tcW w:w="776" w:type="dxa"/>
            <w:noWrap w:val="0"/>
            <w:vAlign w:val="center"/>
          </w:tcPr>
          <w:p>
            <w:pPr>
              <w:rPr>
                <w:rFonts w:ascii="仿宋_GB2312" w:eastAsia="仿宋_GB2312"/>
                <w:snapToGrid w:val="0"/>
                <w:spacing w:val="-4"/>
                <w:sz w:val="32"/>
              </w:rPr>
            </w:pPr>
          </w:p>
        </w:tc>
        <w:tc>
          <w:tcPr>
            <w:tcW w:w="1134" w:type="dxa"/>
            <w:noWrap w:val="0"/>
            <w:vAlign w:val="top"/>
          </w:tcPr>
          <w:p>
            <w:pPr>
              <w:rPr>
                <w:rFonts w:ascii="仿宋_GB2312" w:eastAsia="仿宋_GB2312"/>
                <w:snapToGrid w:val="0"/>
                <w:spacing w:val="-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5" w:type="dxa"/>
            <w:gridSpan w:val="3"/>
            <w:noWrap w:val="0"/>
            <w:vAlign w:val="top"/>
          </w:tcPr>
          <w:p>
            <w:pPr>
              <w:rPr>
                <w:rFonts w:hint="eastAsia" w:ascii="仿宋_GB2312" w:hAnsi="宋体" w:eastAsia="仿宋_GB2312" w:cs="宋体"/>
                <w:color w:val="000000"/>
                <w:kern w:val="0"/>
                <w:szCs w:val="21"/>
              </w:rPr>
            </w:pPr>
            <w:r>
              <w:rPr>
                <w:rFonts w:hint="eastAsia" w:ascii="仿宋_GB2312" w:eastAsia="仿宋_GB2312"/>
                <w:snapToGrid w:val="0"/>
                <w:spacing w:val="-4"/>
                <w:sz w:val="32"/>
              </w:rPr>
              <w:t>扣分项小计</w:t>
            </w:r>
          </w:p>
        </w:tc>
        <w:tc>
          <w:tcPr>
            <w:tcW w:w="776" w:type="dxa"/>
            <w:noWrap w:val="0"/>
            <w:vAlign w:val="center"/>
          </w:tcPr>
          <w:p>
            <w:pPr>
              <w:rPr>
                <w:rFonts w:ascii="仿宋_GB2312" w:eastAsia="仿宋_GB2312"/>
                <w:snapToGrid w:val="0"/>
                <w:spacing w:val="-4"/>
                <w:sz w:val="32"/>
              </w:rPr>
            </w:pPr>
          </w:p>
        </w:tc>
        <w:tc>
          <w:tcPr>
            <w:tcW w:w="1134" w:type="dxa"/>
            <w:noWrap w:val="0"/>
            <w:vAlign w:val="top"/>
          </w:tcPr>
          <w:p>
            <w:pPr>
              <w:rPr>
                <w:rFonts w:ascii="仿宋_GB2312" w:eastAsia="仿宋_GB2312"/>
                <w:snapToGrid w:val="0"/>
                <w:spacing w:val="-4"/>
                <w:sz w:val="32"/>
              </w:rPr>
            </w:pPr>
          </w:p>
        </w:tc>
      </w:tr>
    </w:tbl>
    <w:p>
      <w:pPr>
        <w:rPr>
          <w:rFonts w:hint="eastAsia" w:ascii="黑体" w:eastAsia="黑体"/>
          <w:spacing w:val="-4"/>
          <w:sz w:val="32"/>
          <w:szCs w:val="32"/>
        </w:rPr>
      </w:pPr>
    </w:p>
    <w:p>
      <w:pPr>
        <w:spacing w:line="560" w:lineRule="exact"/>
        <w:rPr>
          <w:rFonts w:hint="eastAsia" w:ascii="仿宋_GB2312" w:hAnsi="仿宋_GB2312" w:eastAsia="仿宋_GB2312" w:cs="仿宋_GB2312"/>
          <w:sz w:val="32"/>
          <w:szCs w:val="32"/>
        </w:rPr>
      </w:pPr>
    </w:p>
    <w:p>
      <w:pPr>
        <w:widowControl/>
        <w:shd w:val="clear" w:color="auto" w:fill="FFFFFF"/>
        <w:spacing w:line="580" w:lineRule="exact"/>
        <w:ind w:firstLine="280" w:firstLineChars="100"/>
        <w:rPr>
          <w:rFonts w:ascii="仿宋_GB2312" w:hAnsi="仿宋_GB2312" w:eastAsia="仿宋_GB2312" w:cs="仿宋_GB2312"/>
          <w:sz w:val="28"/>
          <w:szCs w:val="28"/>
        </w:rPr>
        <w:sectPr>
          <w:footerReference r:id="rId4" w:type="default"/>
          <w:footerReference r:id="rId5" w:type="even"/>
          <w:pgSz w:w="16838" w:h="11906" w:orient="landscape"/>
          <w:pgMar w:top="1588" w:right="2098" w:bottom="1418" w:left="1418" w:header="851" w:footer="1134" w:gutter="0"/>
          <w:pgNumType w:fmt="numberInDash"/>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5408" behindDoc="0" locked="0" layoutInCell="1" allowOverlap="1">
              <wp:simplePos x="0" y="0"/>
              <wp:positionH relativeFrom="margin">
                <wp:posOffset>5193030</wp:posOffset>
              </wp:positionH>
              <wp:positionV relativeFrom="paragraph">
                <wp:posOffset>-110490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08.9pt;margin-top:-8.7pt;height:18.15pt;width:42.05pt;mso-position-horizontal-relative:margin;mso-wrap-style:none;z-index:251665408;mso-width-relative:page;mso-height-relative:page;" filled="f" stroked="f" coordsize="21600,21600" o:gfxdata="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At&#10;KCzWAAAACgEAAA8AAAAAAAAAAQAgAAAAIgAAAGRycy9kb3ducmV2LnhtbFBLAQIUABQAAAAIAIdO&#10;4kAKTeEkswEAAEkDAAAOAAAAAAAAAAEAIAAAACUBAABkcnMvZTJvRG9jLnhtbFBLBQYAAAAABgAG&#10;AFkBAABKBQAAAAA=&#10;">
              <v:path/>
              <v:fill on="f" focussize="0,0"/>
              <v:stroke on="f"/>
              <v:imagedata o:title=""/>
              <o:lock v:ext="edit" grouping="f" rotation="f" text="f" aspectratio="f"/>
              <v:textbox inset="0mm,0mm,0mm,0mm" style="mso-fit-shape-to-text:t;">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- 21 -</w:t>
                    </w:r>
                    <w:r>
                      <w:rPr>
                        <w:rFonts w:ascii="宋体" w:hAnsi="宋体"/>
                        <w:sz w:val="28"/>
                        <w:szCs w:val="2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8448040</wp:posOffset>
              </wp:positionH>
              <wp:positionV relativeFrom="paragraph">
                <wp:posOffset>-110490</wp:posOffset>
              </wp:positionV>
              <wp:extent cx="4451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665.2pt;margin-top:-8.7pt;height:18.15pt;width:35.05pt;mso-position-horizontal-relative:margin;mso-wrap-style:none;z-index:251664384;mso-width-relative:page;mso-height-relative:page;" filled="f" stroked="f" coordsize="21600,21600" o:gfxdata="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r&#10;2vSE1wAAAAwBAAAPAAAAAAAAAAEAIAAAACIAAABkcnMvZG93bnJldi54bWxQSwECFAAUAAAACACH&#10;TuJAkvljl7MBAABJAwAADgAAAAAAAAABACAAAAAmAQAAZHJzL2Uyb0RvYy54bWxQSwUGAAAAAAYA&#10;BgBZAQAASwUAAAAA&#10;">
              <v:path/>
              <v:fill on="f" focussize="0,0"/>
              <v:stroke on="f"/>
              <v:imagedata o:title=""/>
              <o:lock v:ext="edit" grouping="f" rotation="f" text="f" aspectratio="f"/>
              <v:textbox inset="0mm,0mm,0mm,0mm" style="mso-fit-shape-to-text:t;">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posOffset>7979410</wp:posOffset>
              </wp:positionH>
              <wp:positionV relativeFrom="paragraph">
                <wp:posOffset>-31750</wp:posOffset>
              </wp:positionV>
              <wp:extent cx="5340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- 23 -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628.3pt;margin-top:-2.5pt;height:18.15pt;width:42.05pt;mso-position-horizontal-relative:margin;mso-wrap-style:none;z-index:251659264;mso-width-relative:page;mso-height-relative:page;" filled="f" stroked="f" coordsize="21600,21600" o:gfxdata="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7&#10;1CY91wAAAAsBAAAPAAAAAAAAAAEAIAAAACIAAABkcnMvZG93bnJldi54bWxQSwECFAAUAAAACACH&#10;TuJA515+JbMBAABJAwAADgAAAAAAAAABACAAAAAmAQAAZHJzL2Uyb0RvYy54bWxQSwUGAAAAAAYA&#10;BgBZAQAASwUAAAAA&#10;">
              <v:path/>
              <v:fill on="f" focussize="0,0"/>
              <v:stroke on="f"/>
              <v:imagedata o:title=""/>
              <o:lock v:ext="edit" grouping="f" rotation="f" text="f" aspectratio="f"/>
              <v:textbox inset="0mm,0mm,0mm,0mm" style="mso-fit-shape-to-text:t;">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- 23 -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24 -</w:t>
    </w:r>
    <w:r>
      <w:rPr>
        <w:rFonts w:ascii="宋体" w:hAnsi="宋体"/>
        <w:sz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785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unhideWhenUsed/>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2019-09-30T03:17:59Z</dcterms:created>
  <dc:creator>jiangst</dc:creator>
  <cp:lastModifiedBy>Orion</cp:lastModifiedBy>
  <dcterms:modified xsi:type="dcterms:W3CDTF">2019-09-30T03:18:01Z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