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ind w:left="0" w:hanging="1120" w:hangingChars="400"/>
        <w:jc w:val="both"/>
        <w:textAlignment w:val="auto"/>
        <w:rPr>
          <w:rFonts w:hint="eastAsia" w:ascii="方正小标宋简体" w:hAnsi="方正小标宋简体" w:eastAsia="方正小标宋简体" w:cs="方正小标宋简体"/>
          <w:sz w:val="28"/>
          <w:szCs w:val="28"/>
          <w:highlight w:val="none"/>
          <w:lang w:val="en-US" w:eastAsia="zh-CN"/>
        </w:rPr>
      </w:pPr>
      <w:r>
        <w:rPr>
          <w:rFonts w:hint="eastAsia" w:ascii="方正小标宋简体" w:hAnsi="方正小标宋简体" w:eastAsia="方正小标宋简体" w:cs="方正小标宋简体"/>
          <w:sz w:val="28"/>
          <w:szCs w:val="28"/>
          <w:highlight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880" w:firstLineChars="200"/>
        <w:jc w:val="center"/>
        <w:textAlignment w:val="auto"/>
        <w:rPr>
          <w:rFonts w:hint="eastAsia" w:ascii="方正小标宋简体" w:hAnsi="方正小标宋简体" w:eastAsia="方正小标宋简体" w:cs="方正小标宋简体"/>
          <w:sz w:val="44"/>
          <w:szCs w:val="4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880" w:firstLineChars="200"/>
        <w:jc w:val="center"/>
        <w:textAlignment w:val="auto"/>
        <w:rPr>
          <w:rFonts w:hint="eastAsia" w:ascii="方正小标宋简体" w:hAnsi="方正小标宋简体" w:eastAsia="方正小标宋简体" w:cs="方正小标宋简体"/>
          <w:sz w:val="44"/>
          <w:szCs w:val="44"/>
          <w:shd w:val="clear" w:color="auto" w:fill="FFFFFF"/>
          <w:lang w:val="en-US" w:eastAsia="zh-CN"/>
        </w:rPr>
      </w:pPr>
      <w:bookmarkStart w:id="0" w:name="_GoBack"/>
      <w:r>
        <w:rPr>
          <w:rFonts w:hint="eastAsia" w:ascii="方正小标宋简体" w:hAnsi="方正小标宋简体" w:eastAsia="方正小标宋简体" w:cs="方正小标宋简体"/>
          <w:sz w:val="44"/>
          <w:szCs w:val="44"/>
          <w:shd w:val="clear" w:color="auto" w:fill="FFFFFF"/>
          <w:lang w:val="en-US" w:eastAsia="zh-CN"/>
        </w:rPr>
        <w:t>关于《宁波市海曙区退役军人事务专项资金使用管理办法》的起草说明</w:t>
      </w:r>
    </w:p>
    <w:bookmarkEnd w:id="0"/>
    <w:p>
      <w:pPr>
        <w:pStyle w:val="2"/>
        <w:keepNext w:val="0"/>
        <w:keepLines w:val="0"/>
        <w:pageBreakBefore w:val="0"/>
        <w:kinsoku/>
        <w:wordWrap/>
        <w:overflowPunct/>
        <w:topLinePunct w:val="0"/>
        <w:autoSpaceDE/>
        <w:bidi w:val="0"/>
        <w:adjustRightInd/>
        <w:snapToGrid/>
        <w:spacing w:line="600" w:lineRule="exact"/>
        <w:ind w:left="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一、行政规范性文件制定的必要性和基本情况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eastAsia="zh-CN"/>
        </w:rPr>
        <w:t>为加强宁波市海曙区退役军人事务</w:t>
      </w:r>
      <w:r>
        <w:rPr>
          <w:rFonts w:hint="eastAsia" w:ascii="仿宋_GB2312" w:hAnsi="仿宋_GB2312" w:eastAsia="仿宋_GB2312" w:cs="仿宋_GB2312"/>
          <w:sz w:val="32"/>
          <w:szCs w:val="32"/>
          <w:shd w:val="clear" w:color="auto" w:fill="FFFFFF"/>
          <w:lang w:val="en-US" w:eastAsia="zh-CN"/>
        </w:rPr>
        <w:t>工作专项</w:t>
      </w:r>
      <w:r>
        <w:rPr>
          <w:rFonts w:hint="eastAsia" w:ascii="仿宋_GB2312" w:hAnsi="仿宋_GB2312" w:eastAsia="仿宋_GB2312" w:cs="仿宋_GB2312"/>
          <w:sz w:val="32"/>
          <w:szCs w:val="32"/>
          <w:shd w:val="clear" w:color="auto" w:fill="FFFFFF"/>
          <w:lang w:eastAsia="zh-CN"/>
        </w:rPr>
        <w:t>资金使用管理，</w:t>
      </w:r>
      <w:r>
        <w:rPr>
          <w:rFonts w:hint="eastAsia" w:ascii="仿宋_GB2312" w:hAnsi="仿宋_GB2312" w:eastAsia="仿宋_GB2312" w:cs="仿宋_GB2312"/>
          <w:sz w:val="32"/>
          <w:szCs w:val="32"/>
          <w:shd w:val="clear" w:color="auto" w:fill="FFFFFF"/>
          <w:lang w:val="en-US" w:eastAsia="zh-CN"/>
        </w:rPr>
        <w:t>进一步</w:t>
      </w:r>
      <w:r>
        <w:rPr>
          <w:rFonts w:hint="eastAsia" w:ascii="仿宋_GB2312" w:hAnsi="仿宋_GB2312" w:eastAsia="仿宋_GB2312" w:cs="仿宋_GB2312"/>
          <w:sz w:val="32"/>
          <w:szCs w:val="32"/>
          <w:shd w:val="clear" w:color="auto" w:fill="FFFFFF"/>
          <w:lang w:eastAsia="zh-CN"/>
        </w:rPr>
        <w:t>促进退役军人事务</w:t>
      </w:r>
      <w:r>
        <w:rPr>
          <w:rFonts w:hint="eastAsia" w:ascii="仿宋_GB2312" w:hAnsi="仿宋_GB2312" w:eastAsia="仿宋_GB2312" w:cs="仿宋_GB2312"/>
          <w:sz w:val="32"/>
          <w:szCs w:val="32"/>
          <w:shd w:val="clear" w:color="auto" w:fill="FFFFFF"/>
          <w:lang w:val="en-US" w:eastAsia="zh-CN"/>
        </w:rPr>
        <w:t>工作规范化开展</w:t>
      </w:r>
      <w:r>
        <w:rPr>
          <w:rFonts w:hint="eastAsia" w:ascii="仿宋_GB2312" w:hAnsi="仿宋_GB2312" w:eastAsia="仿宋_GB2312" w:cs="仿宋_GB2312"/>
          <w:sz w:val="32"/>
          <w:szCs w:val="32"/>
          <w:shd w:val="clear" w:color="auto" w:fill="FFFFFF"/>
          <w:lang w:eastAsia="zh-CN"/>
        </w:rPr>
        <w:t>，根据</w:t>
      </w:r>
      <w:r>
        <w:rPr>
          <w:rFonts w:hint="eastAsia" w:ascii="仿宋_GB2312" w:hAnsi="仿宋_GB2312" w:eastAsia="仿宋_GB2312" w:cs="仿宋_GB2312"/>
          <w:sz w:val="32"/>
          <w:szCs w:val="32"/>
          <w:shd w:val="clear" w:color="auto" w:fill="FFFFFF"/>
          <w:lang w:val="en-US" w:eastAsia="zh-CN"/>
        </w:rPr>
        <w:t>《关于加强困难退役军人帮扶援助工作的实施意见》（浙退役军人厅发〔2020〕42号）、《关于支持退役军人创业创新的指导意见》（退役军人部发〔2022〕77号）</w:t>
      </w:r>
      <w:r>
        <w:rPr>
          <w:rFonts w:hint="eastAsia" w:ascii="仿宋_GB2312" w:hAnsi="仿宋_GB2312" w:eastAsia="仿宋_GB2312" w:cs="仿宋_GB2312"/>
          <w:sz w:val="32"/>
          <w:szCs w:val="32"/>
          <w:shd w:val="clear" w:color="auto" w:fill="FFFFFF"/>
          <w:lang w:eastAsia="zh-CN"/>
        </w:rPr>
        <w:t>等文件精神，</w:t>
      </w:r>
      <w:r>
        <w:rPr>
          <w:rFonts w:hint="eastAsia" w:ascii="仿宋_GB2312" w:hAnsi="仿宋_GB2312" w:eastAsia="仿宋_GB2312" w:cs="仿宋_GB2312"/>
          <w:sz w:val="32"/>
          <w:szCs w:val="32"/>
          <w:shd w:val="clear" w:color="auto" w:fill="FFFFFF"/>
          <w:lang w:val="en-US" w:eastAsia="zh-CN"/>
        </w:rPr>
        <w:t>结合海曙实际，特起草制定《宁波市海曙区退役军人事务专项资金使用管理办法</w:t>
      </w:r>
      <w:r>
        <w:rPr>
          <w:rFonts w:hint="eastAsia" w:ascii="仿宋_GB2312" w:hAnsi="仿宋_GB2312" w:eastAsia="仿宋_GB2312" w:cs="仿宋_GB2312"/>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二、起草过程和制定依据</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hint="eastAsia" w:ascii="楷体" w:hAnsi="楷体" w:eastAsia="楷体" w:cs="楷体"/>
          <w:sz w:val="32"/>
          <w:szCs w:val="32"/>
          <w:shd w:val="clear" w:color="auto" w:fill="FFFFFF"/>
          <w:lang w:eastAsia="zh-CN"/>
        </w:rPr>
      </w:pPr>
      <w:r>
        <w:rPr>
          <w:rFonts w:hint="eastAsia" w:ascii="楷体" w:hAnsi="楷体" w:eastAsia="楷体" w:cs="楷体"/>
          <w:sz w:val="32"/>
          <w:szCs w:val="32"/>
          <w:shd w:val="clear" w:color="auto" w:fill="FFFFFF"/>
          <w:lang w:eastAsia="zh-CN"/>
        </w:rPr>
        <w:t>（一）起草过程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sz w:val="32"/>
          <w:szCs w:val="32"/>
          <w:shd w:val="clear" w:color="auto" w:fill="FFFFFF"/>
          <w:lang w:val="en-US" w:eastAsia="zh-CN"/>
        </w:rPr>
        <w:t>为进一步规范区级</w:t>
      </w:r>
      <w:r>
        <w:rPr>
          <w:rFonts w:hint="eastAsia" w:ascii="仿宋_GB2312" w:hAnsi="仿宋_GB2312" w:eastAsia="仿宋_GB2312" w:cs="仿宋_GB2312"/>
          <w:sz w:val="32"/>
          <w:lang w:eastAsia="zh-CN"/>
        </w:rPr>
        <w:t>退役军人事务</w:t>
      </w:r>
      <w:r>
        <w:rPr>
          <w:rFonts w:hint="eastAsia" w:ascii="仿宋_GB2312" w:hAnsi="仿宋_GB2312" w:eastAsia="仿宋_GB2312" w:cs="仿宋_GB2312"/>
          <w:sz w:val="32"/>
          <w:lang w:val="en-US" w:eastAsia="zh-CN"/>
        </w:rPr>
        <w:t>工作专项</w:t>
      </w:r>
      <w:r>
        <w:rPr>
          <w:rFonts w:hint="eastAsia" w:ascii="仿宋_GB2312" w:hAnsi="仿宋_GB2312" w:eastAsia="仿宋_GB2312" w:cs="仿宋_GB2312"/>
          <w:sz w:val="32"/>
        </w:rPr>
        <w:t>资金</w:t>
      </w:r>
      <w:r>
        <w:rPr>
          <w:rFonts w:hint="eastAsia" w:ascii="仿宋_GB2312" w:hAnsi="仿宋_GB2312" w:eastAsia="仿宋_GB2312" w:cs="仿宋_GB2312"/>
          <w:sz w:val="32"/>
          <w:lang w:eastAsia="zh-CN"/>
        </w:rPr>
        <w:t>使用管理，</w:t>
      </w:r>
      <w:r>
        <w:rPr>
          <w:rFonts w:hint="eastAsia" w:ascii="仿宋_GB2312" w:hAnsi="仿宋_GB2312" w:eastAsia="仿宋_GB2312" w:cs="仿宋_GB2312"/>
          <w:sz w:val="32"/>
          <w:lang w:val="en-US" w:eastAsia="zh-CN"/>
        </w:rPr>
        <w:t>确定工作任务及绩效目标，</w:t>
      </w:r>
      <w:r>
        <w:rPr>
          <w:rFonts w:hint="eastAsia" w:ascii="仿宋_GB2312" w:hAnsi="仿宋_GB2312" w:eastAsia="仿宋_GB2312" w:cs="仿宋_GB2312"/>
          <w:color w:val="000000"/>
          <w:kern w:val="0"/>
          <w:sz w:val="32"/>
          <w:szCs w:val="32"/>
          <w:lang w:val="en-US" w:eastAsia="zh-CN" w:bidi="ar-SA"/>
        </w:rPr>
        <w:t>明确部门职责，</w:t>
      </w:r>
      <w:r>
        <w:rPr>
          <w:rFonts w:hint="eastAsia" w:ascii="仿宋_GB2312" w:hAnsi="仿宋_GB2312" w:eastAsia="仿宋_GB2312" w:cs="仿宋_GB2312"/>
          <w:sz w:val="32"/>
          <w:szCs w:val="32"/>
          <w:shd w:val="clear" w:color="auto" w:fill="FFFFFF"/>
        </w:rPr>
        <w:t>在</w:t>
      </w:r>
      <w:r>
        <w:rPr>
          <w:rFonts w:hint="eastAsia" w:ascii="仿宋_GB2312" w:hAnsi="仿宋_GB2312" w:eastAsia="仿宋_GB2312" w:cs="仿宋_GB2312"/>
          <w:sz w:val="32"/>
          <w:szCs w:val="32"/>
          <w:shd w:val="clear" w:color="auto" w:fill="FFFFFF"/>
          <w:lang w:eastAsia="zh-CN"/>
        </w:rPr>
        <w:t>政策</w:t>
      </w:r>
      <w:r>
        <w:rPr>
          <w:rFonts w:hint="eastAsia" w:ascii="仿宋_GB2312" w:hAnsi="仿宋_GB2312" w:eastAsia="仿宋_GB2312" w:cs="仿宋_GB2312"/>
          <w:sz w:val="32"/>
          <w:szCs w:val="32"/>
          <w:shd w:val="clear" w:color="auto" w:fill="FFFFFF"/>
        </w:rPr>
        <w:t>起草过程中，</w:t>
      </w:r>
      <w:r>
        <w:rPr>
          <w:rFonts w:hint="eastAsia" w:ascii="仿宋_GB2312" w:hAnsi="仿宋_GB2312" w:eastAsia="仿宋_GB2312" w:cs="仿宋_GB2312"/>
          <w:sz w:val="32"/>
          <w:szCs w:val="32"/>
          <w:shd w:val="clear" w:color="auto" w:fill="FFFFFF"/>
          <w:lang w:eastAsia="zh-CN"/>
        </w:rPr>
        <w:t>深入研究相关法律法规及近年来上级退役军人事务部门</w:t>
      </w:r>
      <w:r>
        <w:rPr>
          <w:rFonts w:hint="eastAsia" w:ascii="仿宋_GB2312" w:hAnsi="仿宋_GB2312" w:eastAsia="仿宋_GB2312" w:cs="仿宋_GB2312"/>
          <w:color w:val="000000"/>
          <w:kern w:val="0"/>
          <w:sz w:val="32"/>
          <w:szCs w:val="32"/>
          <w:lang w:eastAsia="zh-CN"/>
        </w:rPr>
        <w:t>资金管理的要求，充分了解政策</w:t>
      </w:r>
      <w:r>
        <w:rPr>
          <w:rFonts w:hint="eastAsia" w:ascii="仿宋_GB2312" w:hAnsi="仿宋_GB2312" w:eastAsia="仿宋_GB2312" w:cs="仿宋_GB2312"/>
          <w:color w:val="000000"/>
          <w:kern w:val="0"/>
          <w:sz w:val="32"/>
          <w:szCs w:val="32"/>
        </w:rPr>
        <w:t>文件实质，</w:t>
      </w:r>
      <w:r>
        <w:rPr>
          <w:rFonts w:hint="eastAsia" w:ascii="仿宋_GB2312" w:hAnsi="仿宋_GB2312" w:eastAsia="仿宋_GB2312" w:cs="仿宋_GB2312"/>
          <w:color w:val="000000"/>
          <w:kern w:val="0"/>
          <w:sz w:val="32"/>
          <w:szCs w:val="32"/>
          <w:lang w:val="en-US" w:eastAsia="zh-CN" w:bidi="ar-SA"/>
        </w:rPr>
        <w:t>区退役军人事务在6月初开始谋划，8月底拟定初稿，并与相关部门及镇（乡）街道进行沟通、征求意见，在对相关意见修改后，已达成一致。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楷体" w:hAnsi="楷体" w:eastAsia="楷体" w:cs="楷体"/>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（二）行政规范性文件制定依据</w:t>
      </w:r>
    </w:p>
    <w:p>
      <w:pPr>
        <w:pStyle w:val="2"/>
        <w:keepNext w:val="0"/>
        <w:keepLines w:val="0"/>
        <w:pageBreakBefore w:val="0"/>
        <w:kinsoku/>
        <w:wordWrap/>
        <w:overflowPunct/>
        <w:topLinePunct w:val="0"/>
        <w:autoSpaceDE/>
        <w:bidi w:val="0"/>
        <w:adjustRightInd/>
        <w:snapToGrid/>
        <w:spacing w:line="600" w:lineRule="exact"/>
        <w:ind w:left="0"/>
        <w:textAlignment w:val="auto"/>
        <w:rPr>
          <w:rFonts w:hint="default" w:ascii="仿宋_GB2312" w:hAnsi="仿宋_GB2312" w:eastAsia="仿宋_GB2312" w:cs="仿宋_GB2312"/>
          <w:kern w:val="2"/>
          <w:sz w:val="32"/>
          <w:lang w:val="en-US" w:eastAsia="zh-CN" w:bidi="ar-SA"/>
        </w:rPr>
      </w:pPr>
      <w:r>
        <w:rPr>
          <w:rFonts w:hint="eastAsia" w:ascii="仿宋_GB2312" w:hAnsi="仿宋_GB2312" w:eastAsia="仿宋_GB2312" w:cs="仿宋_GB2312"/>
          <w:kern w:val="2"/>
          <w:sz w:val="32"/>
          <w:lang w:val="en-US" w:eastAsia="zh-CN" w:bidi="ar-SA"/>
        </w:rPr>
        <w:t>1.《中华人民共和国退役军人保障法》（2020年11月11日第十三届全国人民代表大会常务委员会第二十三次会议通过）</w:t>
      </w:r>
    </w:p>
    <w:p>
      <w:pPr>
        <w:pStyle w:val="2"/>
        <w:keepNext w:val="0"/>
        <w:keepLines w:val="0"/>
        <w:pageBreakBefore w:val="0"/>
        <w:kinsoku/>
        <w:wordWrap/>
        <w:overflowPunct/>
        <w:topLinePunct w:val="0"/>
        <w:autoSpaceDE/>
        <w:bidi w:val="0"/>
        <w:adjustRightInd/>
        <w:snapToGrid/>
        <w:spacing w:line="600" w:lineRule="exact"/>
        <w:ind w:left="0"/>
        <w:textAlignment w:val="auto"/>
        <w:rPr>
          <w:rFonts w:hint="eastAsia" w:ascii="仿宋_GB2312" w:hAnsi="仿宋_GB2312" w:eastAsia="仿宋_GB2312" w:cs="仿宋_GB2312"/>
          <w:kern w:val="2"/>
          <w:sz w:val="32"/>
          <w:lang w:val="en-US" w:eastAsia="zh-CN" w:bidi="ar-SA"/>
        </w:rPr>
      </w:pPr>
      <w:r>
        <w:rPr>
          <w:rFonts w:hint="eastAsia" w:ascii="仿宋_GB2312" w:hAnsi="仿宋_GB2312" w:eastAsia="仿宋_GB2312" w:cs="仿宋_GB2312"/>
          <w:kern w:val="2"/>
          <w:sz w:val="32"/>
          <w:lang w:val="en-US" w:eastAsia="zh-CN" w:bidi="ar-SA"/>
        </w:rPr>
        <w:t>2.《关于加强困难退役军人帮扶援助工作的实施意见》（浙退役军人厅发〔2020〕42号），2020年12月31日发文。</w:t>
      </w:r>
    </w:p>
    <w:p>
      <w:pPr>
        <w:pStyle w:val="2"/>
        <w:keepNext w:val="0"/>
        <w:keepLines w:val="0"/>
        <w:pageBreakBefore w:val="0"/>
        <w:kinsoku/>
        <w:wordWrap/>
        <w:overflowPunct/>
        <w:topLinePunct w:val="0"/>
        <w:autoSpaceDE/>
        <w:bidi w:val="0"/>
        <w:adjustRightInd/>
        <w:snapToGrid/>
        <w:spacing w:line="600" w:lineRule="exact"/>
        <w:ind w:left="0"/>
        <w:textAlignment w:val="auto"/>
        <w:rPr>
          <w:rFonts w:hint="eastAsia" w:ascii="仿宋_GB2312" w:hAnsi="仿宋_GB2312" w:eastAsia="仿宋_GB2312" w:cs="仿宋_GB2312"/>
          <w:kern w:val="2"/>
          <w:sz w:val="32"/>
          <w:lang w:val="en-US" w:eastAsia="zh-CN" w:bidi="ar-SA"/>
        </w:rPr>
      </w:pPr>
      <w:r>
        <w:rPr>
          <w:rFonts w:hint="eastAsia" w:ascii="仿宋_GB2312" w:hAnsi="仿宋_GB2312" w:eastAsia="仿宋_GB2312" w:cs="仿宋_GB2312"/>
          <w:kern w:val="2"/>
          <w:sz w:val="32"/>
          <w:lang w:val="en-US" w:eastAsia="zh-CN" w:bidi="ar-SA"/>
        </w:rPr>
        <w:t>3.《关于支持退役军人创业创新的指导意见》（退役军人部发〔2022〕77号），2022年11月28日发文。</w:t>
      </w:r>
    </w:p>
    <w:p>
      <w:pPr>
        <w:pStyle w:val="2"/>
        <w:keepNext w:val="0"/>
        <w:keepLines w:val="0"/>
        <w:pageBreakBefore w:val="0"/>
        <w:kinsoku/>
        <w:wordWrap/>
        <w:overflowPunct/>
        <w:topLinePunct w:val="0"/>
        <w:autoSpaceDE/>
        <w:bidi w:val="0"/>
        <w:adjustRightInd/>
        <w:snapToGrid/>
        <w:spacing w:line="600" w:lineRule="exact"/>
        <w:ind w:left="0"/>
        <w:textAlignment w:val="auto"/>
        <w:rPr>
          <w:rFonts w:hint="eastAsia" w:ascii="仿宋_GB2312" w:hAnsi="仿宋_GB2312" w:eastAsia="仿宋_GB2312" w:cs="仿宋_GB2312"/>
          <w:kern w:val="2"/>
          <w:sz w:val="32"/>
          <w:lang w:val="en-US" w:eastAsia="zh-CN" w:bidi="ar-SA"/>
        </w:rPr>
      </w:pPr>
      <w:r>
        <w:rPr>
          <w:rFonts w:hint="eastAsia" w:ascii="仿宋_GB2312" w:hAnsi="仿宋_GB2312" w:eastAsia="仿宋_GB2312" w:cs="仿宋_GB2312"/>
          <w:kern w:val="2"/>
          <w:sz w:val="32"/>
          <w:lang w:val="en-US" w:eastAsia="zh-CN" w:bidi="ar-SA"/>
        </w:rPr>
        <w:t>4.《退役军人事务部等七部门关于全面做好退役士兵教育培训工作的指导意见》（退役军人部发〔2021〕53号），2021年9月7日发文。</w:t>
      </w:r>
    </w:p>
    <w:p>
      <w:pPr>
        <w:pStyle w:val="2"/>
        <w:keepNext w:val="0"/>
        <w:keepLines w:val="0"/>
        <w:pageBreakBefore w:val="0"/>
        <w:kinsoku/>
        <w:wordWrap/>
        <w:overflowPunct/>
        <w:topLinePunct w:val="0"/>
        <w:autoSpaceDE/>
        <w:bidi w:val="0"/>
        <w:adjustRightInd/>
        <w:snapToGrid/>
        <w:spacing w:line="600" w:lineRule="exact"/>
        <w:ind w:left="0"/>
        <w:textAlignment w:val="auto"/>
        <w:rPr>
          <w:rFonts w:hint="default" w:ascii="仿宋_GB2312" w:hAnsi="仿宋_GB2312" w:eastAsia="仿宋_GB2312" w:cs="仿宋_GB2312"/>
          <w:kern w:val="2"/>
          <w:sz w:val="32"/>
          <w:lang w:val="en-US" w:eastAsia="zh-CN" w:bidi="ar-SA"/>
        </w:rPr>
      </w:pPr>
      <w:r>
        <w:rPr>
          <w:rFonts w:hint="eastAsia" w:ascii="仿宋_GB2312" w:hAnsi="仿宋_GB2312" w:eastAsia="仿宋_GB2312" w:cs="仿宋_GB2312"/>
          <w:kern w:val="2"/>
          <w:sz w:val="32"/>
          <w:lang w:val="en-US" w:eastAsia="zh-CN" w:bidi="ar-SA"/>
        </w:rPr>
        <w:t>5.《退役军人事务部等21部门关于支持退役军人创业创新的指导意见》（退役军人部发〔2022〕77号），2022年11月28日发文。</w:t>
      </w:r>
    </w:p>
    <w:p>
      <w:pPr>
        <w:pStyle w:val="2"/>
        <w:keepNext w:val="0"/>
        <w:keepLines w:val="0"/>
        <w:pageBreakBefore w:val="0"/>
        <w:kinsoku/>
        <w:wordWrap/>
        <w:overflowPunct/>
        <w:topLinePunct w:val="0"/>
        <w:autoSpaceDE/>
        <w:bidi w:val="0"/>
        <w:adjustRightInd/>
        <w:snapToGrid/>
        <w:spacing w:line="600" w:lineRule="exact"/>
        <w:ind w:left="0"/>
        <w:textAlignment w:val="auto"/>
        <w:rPr>
          <w:rFonts w:hint="eastAsia" w:ascii="黑体" w:hAnsi="黑体" w:eastAsia="黑体" w:cs="黑体"/>
          <w:kern w:val="2"/>
          <w:sz w:val="32"/>
          <w:lang w:val="en-US" w:eastAsia="zh-CN" w:bidi="ar-SA"/>
        </w:rPr>
      </w:pPr>
      <w:r>
        <w:rPr>
          <w:rFonts w:hint="eastAsia" w:ascii="黑体" w:hAnsi="黑体" w:eastAsia="黑体" w:cs="黑体"/>
          <w:kern w:val="2"/>
          <w:sz w:val="32"/>
          <w:lang w:val="en-US" w:eastAsia="zh-CN" w:bidi="ar-SA"/>
        </w:rPr>
        <w:t>三、行政规范性文件的主要内容和有关问题</w:t>
      </w:r>
    </w:p>
    <w:p>
      <w:pPr>
        <w:pStyle w:val="2"/>
        <w:keepNext w:val="0"/>
        <w:keepLines w:val="0"/>
        <w:pageBreakBefore w:val="0"/>
        <w:kinsoku/>
        <w:wordWrap/>
        <w:overflowPunct/>
        <w:topLinePunct w:val="0"/>
        <w:autoSpaceDE/>
        <w:bidi w:val="0"/>
        <w:adjustRightInd/>
        <w:snapToGrid/>
        <w:spacing w:line="600" w:lineRule="exact"/>
        <w:ind w:left="0"/>
        <w:textAlignment w:val="auto"/>
        <w:rPr>
          <w:rFonts w:hint="eastAsia" w:hAnsi="仿宋_GB2312" w:eastAsia="仿宋_GB2312" w:cs="仿宋_GB2312"/>
          <w:color w:val="000000"/>
          <w:kern w:val="0"/>
          <w:sz w:val="32"/>
          <w:szCs w:val="32"/>
          <w:lang w:val="en-US" w:eastAsia="zh-CN" w:bidi="ar-SA"/>
        </w:rPr>
      </w:pPr>
      <w:r>
        <w:rPr>
          <w:rFonts w:hint="eastAsia" w:ascii="仿宋_GB2312" w:hAnsi="仿宋_GB2312" w:eastAsia="仿宋_GB2312" w:cs="仿宋_GB2312"/>
          <w:kern w:val="2"/>
          <w:sz w:val="32"/>
          <w:lang w:val="en-US" w:eastAsia="zh-CN" w:bidi="ar-SA"/>
        </w:rPr>
        <w:t>《管理办法》分总则、资金补助对象和使用范围及标准、资金分配办法及拨付管理、监督与绩效及附则</w:t>
      </w:r>
      <w:r>
        <w:rPr>
          <w:rFonts w:hint="eastAsia" w:hAnsi="仿宋_GB2312" w:eastAsia="仿宋_GB2312" w:cs="仿宋_GB2312"/>
          <w:color w:val="000000"/>
          <w:kern w:val="0"/>
          <w:sz w:val="32"/>
          <w:szCs w:val="32"/>
          <w:lang w:val="en-US" w:eastAsia="zh-CN" w:bidi="ar-SA"/>
        </w:rPr>
        <w:t>五</w:t>
      </w:r>
      <w:r>
        <w:rPr>
          <w:rFonts w:hint="eastAsia" w:ascii="仿宋_GB2312" w:hAnsi="仿宋_GB2312" w:eastAsia="仿宋_GB2312" w:cs="仿宋_GB2312"/>
          <w:color w:val="000000"/>
          <w:kern w:val="0"/>
          <w:sz w:val="32"/>
          <w:szCs w:val="32"/>
          <w:lang w:val="en-US" w:eastAsia="zh-CN" w:bidi="ar-SA"/>
        </w:rPr>
        <w:t>个章节共</w:t>
      </w:r>
      <w:r>
        <w:rPr>
          <w:rFonts w:hint="eastAsia" w:hAnsi="仿宋_GB2312" w:eastAsia="仿宋_GB2312" w:cs="仿宋_GB2312"/>
          <w:color w:val="000000"/>
          <w:kern w:val="0"/>
          <w:sz w:val="32"/>
          <w:szCs w:val="32"/>
          <w:lang w:val="en-US" w:eastAsia="zh-CN" w:bidi="ar-SA"/>
        </w:rPr>
        <w:t>十七</w:t>
      </w:r>
      <w:r>
        <w:rPr>
          <w:rFonts w:hint="eastAsia" w:ascii="仿宋_GB2312" w:hAnsi="仿宋_GB2312" w:eastAsia="仿宋_GB2312" w:cs="仿宋_GB2312"/>
          <w:color w:val="000000"/>
          <w:kern w:val="0"/>
          <w:sz w:val="32"/>
          <w:szCs w:val="32"/>
          <w:lang w:val="en-US" w:eastAsia="zh-CN" w:bidi="ar-SA"/>
        </w:rPr>
        <w:t>条，</w:t>
      </w:r>
      <w:r>
        <w:rPr>
          <w:rFonts w:hint="eastAsia" w:hAnsi="仿宋_GB2312" w:eastAsia="仿宋_GB2312" w:cs="仿宋_GB2312"/>
          <w:color w:val="000000"/>
          <w:kern w:val="0"/>
          <w:sz w:val="32"/>
          <w:szCs w:val="32"/>
          <w:lang w:val="en-US" w:eastAsia="zh-CN" w:bidi="ar-SA"/>
        </w:rPr>
        <w:t>主要内容如下：</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第一章主要阐述管理办法政策依据、设立范围、基本原则，明确</w:t>
      </w:r>
      <w:r>
        <w:rPr>
          <w:rFonts w:hint="eastAsia" w:hAnsi="仿宋_GB2312" w:eastAsia="仿宋_GB2312" w:cs="仿宋_GB2312"/>
          <w:color w:val="000000"/>
          <w:kern w:val="0"/>
          <w:sz w:val="32"/>
          <w:szCs w:val="32"/>
          <w:lang w:val="en-US" w:eastAsia="zh-CN" w:bidi="ar-SA"/>
        </w:rPr>
        <w:t>各相关</w:t>
      </w:r>
      <w:r>
        <w:rPr>
          <w:rFonts w:hint="eastAsia" w:ascii="仿宋_GB2312" w:hAnsi="仿宋_GB2312" w:eastAsia="仿宋_GB2312" w:cs="仿宋_GB2312"/>
          <w:color w:val="000000"/>
          <w:kern w:val="0"/>
          <w:sz w:val="32"/>
          <w:szCs w:val="32"/>
          <w:lang w:val="en-US" w:eastAsia="zh-CN" w:bidi="ar-SA"/>
        </w:rPr>
        <w:t>部门职责。</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第二章主要阐述资金补助对象和使用范围及标准</w:t>
      </w:r>
      <w:r>
        <w:rPr>
          <w:rFonts w:hint="eastAsia" w:hAnsi="仿宋_GB2312" w:eastAsia="仿宋_GB2312" w:cs="仿宋_GB2312"/>
          <w:color w:val="000000"/>
          <w:kern w:val="0"/>
          <w:sz w:val="32"/>
          <w:szCs w:val="32"/>
          <w:lang w:val="en-US" w:eastAsia="zh-CN" w:bidi="ar-SA"/>
        </w:rPr>
        <w:t>，主要包括慰问工作专项资金、服务扶持专项资金等。</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第三章主要阐述资金分配办法及拨付管理</w:t>
      </w:r>
      <w:r>
        <w:rPr>
          <w:rFonts w:hint="eastAsia" w:hAnsi="仿宋_GB2312" w:eastAsia="仿宋_GB2312" w:cs="仿宋_GB2312"/>
          <w:color w:val="000000"/>
          <w:kern w:val="0"/>
          <w:sz w:val="32"/>
          <w:szCs w:val="32"/>
          <w:lang w:val="en-US" w:eastAsia="zh-CN" w:bidi="ar-SA"/>
        </w:rPr>
        <w:t>，</w:t>
      </w:r>
      <w:r>
        <w:rPr>
          <w:rFonts w:hint="eastAsia" w:ascii="仿宋_GB2312" w:hAnsi="仿宋_GB2312" w:eastAsia="仿宋_GB2312" w:cs="仿宋_GB2312"/>
          <w:sz w:val="32"/>
          <w:szCs w:val="32"/>
          <w:lang w:val="en-US" w:eastAsia="zh-CN"/>
        </w:rPr>
        <w:t>专项资金分为区本级和转移支付两部分</w:t>
      </w:r>
      <w:r>
        <w:rPr>
          <w:rFonts w:hint="eastAsia"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区本级专项资金一般使用项目法分配，转移支付至镇（乡）街道的专项资金包括重点项目和一般项目，重点项目采用项目分配；一般项目采用因素法分配</w:t>
      </w:r>
      <w:r>
        <w:rPr>
          <w:rFonts w:hint="eastAsia"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left="0" w:leftChars="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en-US" w:eastAsia="zh-CN" w:bidi="ar-SA"/>
        </w:rPr>
        <w:t>（四）第四章主要阐述监督与绩效</w:t>
      </w:r>
      <w:r>
        <w:rPr>
          <w:rFonts w:hint="eastAsia" w:hAnsi="仿宋_GB2312" w:eastAsia="仿宋_GB2312" w:cs="仿宋_GB2312"/>
          <w:color w:val="000000"/>
          <w:kern w:val="0"/>
          <w:sz w:val="32"/>
          <w:szCs w:val="32"/>
          <w:lang w:val="en-US" w:eastAsia="zh-CN" w:bidi="ar-SA"/>
        </w:rPr>
        <w:t>，明确</w:t>
      </w:r>
      <w:r>
        <w:rPr>
          <w:rFonts w:hint="eastAsia" w:ascii="仿宋_GB2312" w:hAnsi="仿宋_GB2312" w:eastAsia="仿宋_GB2312" w:cs="仿宋_GB2312"/>
          <w:sz w:val="32"/>
          <w:szCs w:val="32"/>
          <w:lang w:val="en-US" w:eastAsia="zh-CN"/>
        </w:rPr>
        <w:t>区退役军人事务局负责退役军人事务工作专项资金的监督与管理</w:t>
      </w:r>
      <w:r>
        <w:rPr>
          <w:rFonts w:hint="eastAsia"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使用退役军人服务扶持专项资金的各镇（乡）街道退役军人服务站、社会组织（团队）都要建立专项资金使用档案</w:t>
      </w:r>
      <w:r>
        <w:rPr>
          <w:rFonts w:hint="eastAsia" w:hAnsi="仿宋_GB2312" w:eastAsia="仿宋_GB2312" w:cs="仿宋_GB2312"/>
          <w:sz w:val="32"/>
          <w:szCs w:val="32"/>
          <w:lang w:val="en-US" w:eastAsia="zh-CN"/>
        </w:rPr>
        <w:t>，并做到</w:t>
      </w:r>
      <w:r>
        <w:rPr>
          <w:rFonts w:hint="eastAsia" w:ascii="仿宋_GB2312" w:hAnsi="仿宋_GB2312" w:eastAsia="仿宋_GB2312" w:cs="仿宋_GB2312"/>
          <w:sz w:val="32"/>
          <w:szCs w:val="32"/>
          <w:lang w:val="en-US" w:eastAsia="zh-CN"/>
        </w:rPr>
        <w:t>专款专用，不得挪作他用。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方正小标宋简体" w:hAnsi="方正小标宋简体" w:eastAsia="方正小标宋简体" w:cs="方正小标宋简体"/>
          <w:sz w:val="28"/>
          <w:szCs w:val="28"/>
          <w:highlight w:val="none"/>
          <w:lang w:val="en-US" w:eastAsia="zh-CN"/>
        </w:rPr>
      </w:pPr>
      <w:r>
        <w:rPr>
          <w:rFonts w:hint="eastAsia" w:hAnsi="仿宋_GB2312" w:eastAsia="仿宋_GB2312" w:cs="仿宋_GB2312"/>
          <w:sz w:val="32"/>
          <w:szCs w:val="32"/>
          <w:lang w:val="en-US" w:eastAsia="zh-CN"/>
        </w:rPr>
        <w:t>（五）</w:t>
      </w:r>
      <w:r>
        <w:rPr>
          <w:rFonts w:hint="eastAsia" w:ascii="仿宋_GB2312" w:hAnsi="仿宋_GB2312" w:eastAsia="仿宋_GB2312" w:cs="仿宋_GB2312"/>
          <w:sz w:val="32"/>
          <w:szCs w:val="32"/>
          <w:lang w:val="en-US" w:eastAsia="zh-CN"/>
        </w:rPr>
        <w:t>第</w:t>
      </w:r>
      <w:r>
        <w:rPr>
          <w:rFonts w:hint="eastAsia" w:hAnsi="仿宋_GB2312" w:eastAsia="仿宋_GB2312" w:cs="仿宋_GB2312"/>
          <w:sz w:val="32"/>
          <w:szCs w:val="32"/>
          <w:lang w:val="en-US" w:eastAsia="zh-CN"/>
        </w:rPr>
        <w:t>五</w:t>
      </w:r>
      <w:r>
        <w:rPr>
          <w:rFonts w:hint="eastAsia" w:ascii="仿宋_GB2312" w:hAnsi="仿宋_GB2312" w:eastAsia="仿宋_GB2312" w:cs="仿宋_GB2312"/>
          <w:sz w:val="32"/>
          <w:szCs w:val="32"/>
          <w:lang w:val="en-US" w:eastAsia="zh-CN"/>
        </w:rPr>
        <w:t>章</w:t>
      </w:r>
      <w:r>
        <w:rPr>
          <w:rFonts w:hint="eastAsia" w:hAnsi="仿宋_GB2312" w:eastAsia="仿宋_GB2312" w:cs="仿宋_GB2312"/>
          <w:sz w:val="32"/>
          <w:szCs w:val="32"/>
          <w:lang w:val="en-US" w:eastAsia="zh-CN"/>
        </w:rPr>
        <w:t>明确</w:t>
      </w:r>
      <w:r>
        <w:rPr>
          <w:rFonts w:hint="eastAsia" w:ascii="仿宋_GB2312" w:hAnsi="仿宋_GB2312" w:eastAsia="仿宋_GB2312" w:cs="仿宋_GB2312"/>
          <w:kern w:val="2"/>
          <w:sz w:val="32"/>
          <w:szCs w:val="32"/>
          <w:lang w:val="en-US" w:eastAsia="zh-CN" w:bidi="ar-SA"/>
        </w:rPr>
        <w:t>本</w:t>
      </w:r>
      <w:r>
        <w:rPr>
          <w:rFonts w:hint="eastAsia" w:hAnsi="仿宋_GB2312" w:eastAsia="仿宋_GB2312" w:cs="仿宋_GB2312"/>
          <w:kern w:val="2"/>
          <w:sz w:val="32"/>
          <w:szCs w:val="32"/>
          <w:lang w:val="en-US" w:eastAsia="zh-CN" w:bidi="ar-SA"/>
        </w:rPr>
        <w:t>办法</w:t>
      </w:r>
      <w:r>
        <w:rPr>
          <w:rFonts w:hint="eastAsia" w:ascii="仿宋_GB2312" w:hAnsi="仿宋_GB2312" w:eastAsia="仿宋_GB2312" w:cs="仿宋_GB2312"/>
          <w:kern w:val="2"/>
          <w:sz w:val="32"/>
          <w:szCs w:val="32"/>
          <w:lang w:val="en-US" w:eastAsia="zh-CN" w:bidi="ar-SA"/>
        </w:rPr>
        <w:t>负责解释部门及本办法</w:t>
      </w:r>
      <w:r>
        <w:rPr>
          <w:rFonts w:hint="eastAsia" w:hAnsi="仿宋_GB2312" w:eastAsia="仿宋_GB2312" w:cs="仿宋_GB2312"/>
          <w:kern w:val="2"/>
          <w:sz w:val="32"/>
          <w:szCs w:val="32"/>
          <w:lang w:val="en-US" w:eastAsia="zh-CN" w:bidi="ar-SA"/>
        </w:rPr>
        <w:t>实施</w:t>
      </w:r>
      <w:r>
        <w:rPr>
          <w:rFonts w:hint="eastAsia" w:ascii="仿宋_GB2312" w:hAnsi="仿宋_GB2312" w:eastAsia="仿宋_GB2312" w:cs="仿宋_GB2312"/>
          <w:kern w:val="2"/>
          <w:sz w:val="32"/>
          <w:szCs w:val="32"/>
          <w:lang w:val="en-US" w:eastAsia="zh-CN" w:bidi="ar-SA"/>
        </w:rPr>
        <w:t>时间</w:t>
      </w:r>
      <w:r>
        <w:rPr>
          <w:rFonts w:hint="eastAsia" w:hAnsi="仿宋_GB2312" w:eastAsia="仿宋_GB2312" w:cs="仿宋_GB2312"/>
          <w:kern w:val="2"/>
          <w:sz w:val="32"/>
          <w:szCs w:val="32"/>
          <w:lang w:val="en-US" w:eastAsia="zh-CN" w:bidi="ar-SA"/>
        </w:rPr>
        <w:t>（自发文之日起实施），并</w:t>
      </w:r>
      <w:r>
        <w:rPr>
          <w:rFonts w:hint="eastAsia" w:ascii="仿宋_GB2312" w:hAnsi="仿宋_GB2312" w:eastAsia="仿宋_GB2312" w:cs="仿宋_GB2312"/>
          <w:sz w:val="32"/>
          <w:szCs w:val="32"/>
          <w:lang w:val="en-US" w:eastAsia="zh-CN"/>
        </w:rPr>
        <w:t>废止</w:t>
      </w:r>
      <w:r>
        <w:rPr>
          <w:rFonts w:hint="eastAsia" w:hAnsi="仿宋_GB2312" w:eastAsia="仿宋_GB2312" w:cs="仿宋_GB2312"/>
          <w:sz w:val="32"/>
          <w:szCs w:val="32"/>
          <w:lang w:val="en-US" w:eastAsia="zh-CN"/>
        </w:rPr>
        <w:t>原有两个相关文件</w:t>
      </w:r>
      <w:r>
        <w:rPr>
          <w:rFonts w:hint="eastAsia" w:hAnsi="仿宋_GB2312" w:eastAsia="仿宋_GB2312" w:cs="仿宋_GB2312"/>
          <w:kern w:val="2"/>
          <w:sz w:val="32"/>
          <w:szCs w:val="32"/>
          <w:lang w:val="en-US" w:eastAsia="zh-CN" w:bidi="ar-SA"/>
        </w:rPr>
        <w:t>。</w:t>
      </w:r>
    </w:p>
    <w:p/>
    <w:sectPr>
      <w:pgSz w:w="11906" w:h="16838"/>
      <w:pgMar w:top="2098" w:right="1417" w:bottom="2098"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6E6376"/>
    <w:multiLevelType w:val="singleLevel"/>
    <w:tmpl w:val="656E637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5MDFhZWQ5ZDgxYTE3OTJmNDliNGExMWFhMWJjMTgifQ=="/>
  </w:docVars>
  <w:rsids>
    <w:rsidRoot w:val="545B247E"/>
    <w:rsid w:val="545B2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jc w:val="both"/>
    </w:pPr>
    <w:rPr>
      <w:rFonts w:ascii="Times New Roman" w:hAnsi="Times New Roman" w:eastAsia="宋体" w:cs="Times New Roman"/>
      <w:kern w:val="2"/>
      <w:sz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pPr>
  </w:style>
  <w:style w:type="paragraph" w:styleId="3">
    <w:name w:val="Body Text Indent"/>
    <w:basedOn w:val="1"/>
    <w:semiHidden/>
    <w:qFormat/>
    <w:uiPriority w:val="0"/>
    <w:pPr>
      <w:ind w:firstLine="612"/>
    </w:pPr>
    <w:rPr>
      <w:rFonts w:ascii="仿宋_GB2312"/>
      <w:sz w:val="30"/>
    </w:rPr>
  </w:style>
  <w:style w:type="paragraph" w:styleId="4">
    <w:name w:val="Body Text First Indent 2"/>
    <w:basedOn w:val="3"/>
    <w:qFormat/>
    <w:uiPriority w:val="99"/>
    <w:pPr>
      <w:spacing w:after="0"/>
      <w:ind w:left="0" w:leftChars="0"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2023-10-12T08:28:00Z</dcterms:created>
  <dc:creator>Martin</dc:creator>
  <cp:lastModifiedBy>Martin</cp:lastModifiedBy>
  <dcterms:modified xsi:type="dcterms:W3CDTF">2023-10-12T08:28:39Z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ECCDC5279E1F4237AC4B2FFB73FE132D_11</vt:lpwstr>
  </property>
</Properties>
</file>