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2019年海曙区政务公开工作要点任务分解表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</w:t>
      </w:r>
    </w:p>
    <w:tbl>
      <w:tblPr>
        <w:tblStyle w:val="2"/>
        <w:tblW w:w="9180" w:type="dxa"/>
        <w:jc w:val="center"/>
        <w:tblInd w:w="-437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5100"/>
        <w:gridCol w:w="2130"/>
        <w:gridCol w:w="1185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工作任务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责任单位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时间进度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重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决策事项，除涉密的外，决策前应当向社会公布决策草案、决策依据，通过听证座谈、网络征集等多种方式广泛听取公众意见，并将意见收集、采纳情况和意见未予采纳的原因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在本单位信息公开平台重大决策栏目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向社会公布。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公开政策措施执行、落实、效果等情况，利益相关方和公众对决策实施的意见和建议。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决策起草部门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加大稳增长、促改革、调结构、惠民生、防风险、促稳定系列政策措施的执行和落实情况公开力度。加强巡查、督查和审计发现问题整改落实、问责情况公开。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有关单位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 w:firstLineChars="20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按照“谁起草谁解读”原则，切实做到政策性文件与解读方案、解读材料同步组织、同步审签、同步部署。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原则上提交区政府常务会议审议的政策文件均需进行解读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，其中规范性文件未按要求报送政策解读稿的，不得提交常务会议讨论。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政策起草部门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健全政务舆情收集、会商、研判、回应、督办、评估的闭环工作机制。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对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出台的重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大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改革措施、涉及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群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众切身利益、容易引发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社会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关注的政策文件，牵头起草部门要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跟踪、评估政策实施进展情况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加强宣传和引导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政策牵头起草部门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加强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重大突发事件舆情风险源头研判，主动与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宣传、网信等部门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联系沟通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完善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重大政务舆情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信息共享、协同联动、快速反应机制，防范重大舆情事故发生。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区网信办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各有关单位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深化重大建设项目信息公开，重点公开批准服务信息、批准结果信息、招投标信息、征收土地信息、重大设计变更信息、施工进度信息、质量安全监管信息、竣工备案信息等8类信息。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批准、实施重大建设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项目的有关单位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6.1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发改类审批事项信息包括政府投资项目建议书审批、政府投资项目可行性研究报告审批、投资项目初步设计审批、企业投资项目核准等信息。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区发改局                 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 xml:space="preserve">  6.2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自然资源和规划类审批事项信息包括建设用地复核验收、建设项目用地预审审核转报、建设用地规划许可       审批、建设工程（含临时建设）规划许可证核发等信息。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自然资源和规划分局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6.3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建设项目环境影响报告表审批等信息。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生态环境分局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6.4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城市管理类审批服务事项信息包括临时占用城市道路审批、挖掘城市道路审批、临时占用城市绿地审批等信息。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区综合行政执法局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建设工程类审批服务事项信息包括建设工程施工许可、建设工程质量监督手续办理、房屋建筑和市政基础设施工程竣工验收备案等信息。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区住建局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6.6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交通工程类审批事项服务信息包括公路建设工程施工许可、公路工程施工图设计文件审批、公路用地范围内架设、埋设管线等设施许可等信息。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区交通运输局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水利工程类审批事项服务信息包括涉河涉堤建设项目审批、生产建设项目水土保持方案审批（报告书）、 占用水域审批等信息。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区农业农村局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深化公共资源配置领域政府信息公开，重点公开范围包括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保障性安居工程建设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保障性住房分配、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国有土地使用权出让、政府采购、国有产权交易、工程建设项目招标投标等。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区住建局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自然资源和规划分局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区财政局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区政务服务办等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深化公益事业信息公开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，做好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就业创业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、社会救助和社会福利、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养老服务、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教育、基本医疗卫生、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食品药品安全、安全生产、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灾害事故救援、公共文化体育等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个社会公益事业分领域的政府信息公开工作。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区人力社保局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区民政局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卫生健康局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市场监管局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区应急管理局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区农业农村局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区文化和广电旅游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体育局等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围绕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着力缓解企业融资难融资贵问题、加快推进金融改革开放、稳妥处理地方政府债务风险等方面，及时依法公开相关信息。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区金融服务中心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 区经信局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区财政局等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围绕精准扶贫，重点做好相关政策举措、扶贫项目、财政专项扶贫资金、精准扶贫贷款、对口帮扶财政援助资金等信息公开工作。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  区经合局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  区财政局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区农业农村局等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围绕开展大气污染治理攻坚、加快治理黑臭水体、防治农业面源污染、加强固体废弃物处和城市垃圾分类处置等信息公开。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生态环境分局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区综合行政执法局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区农业农村局等 </w:t>
            </w:r>
          </w:p>
        </w:tc>
        <w:tc>
          <w:tcPr>
            <w:tcW w:w="11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围绕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“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最多跑一次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”改革，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着力做好减税降费、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加大“证照分离”改革推进情况公开力度，及时公开涉企高频政务服务事项时间压缩、流程优化的具体举措、工作进展、改革成效等情况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，公开清理规范基层各类涉企乱收费项目情况信息。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区政务服务办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 w:firstLineChars="20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区市场监管局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420" w:firstLineChars="20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发改局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420" w:firstLineChars="20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海曙税务局等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全面实施“双随机、一公开”，推动检查处置结果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全部通过国家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企业信用信息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公示系统和“信用中国”网站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公开。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区市场监管局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  区发改局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关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执法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　大力推进政务服务公开，推行市场主体和个人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全生命周期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的办事服务事项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集成式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、一站式公开。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区政务服务办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牵头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关单位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配合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　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严格落实行政执法公示制度，利用统一的执法信息公示平台，集中向社会依法公开行政执法职责、执法依据、执法程序、监管途径和执法结果等信息。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区司法局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  <w:t>各有关执法单位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及时公开预决算、“三公”经费等财政信息，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进一步推动项目预算细化公开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，推进加快项目文本和绩效目标公开进度，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积极推进本级地方政府债务信息公开。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区财政局牵头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区级各有关单位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各镇（乡）街道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　继续加强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信息公开平台和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区政府网站日常监测和常态化监管，加大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栏目更新、格式规范等指标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检查频次，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加强存在问题通报力度，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积极引进第三方机构对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各单位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政务公开质量和效果进行评估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并作为考核重要依据，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推动政府网站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优质规范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发展。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政府办公室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大数据发展服务中心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　做好机构改革后政府网站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新建、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整合、改版、迁移等工作，完成政府网站域名集中清理工作。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部署区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政府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门户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网站互联网协议第六版（IPv6）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改造工作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区大数据发展服务中心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上半年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　落实《国务院办公厅关于推进政务新媒体健康有序发展的意见》要求，抓紧理顺管理机制，建立健全工作制度，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做好开设整合、内容保障、安全防护、监督管理等工作，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推动各类政务新媒体互联互通、整体发声、协同联动。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区网信办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区全媒体中心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政府办公室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7月底前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 加快办事大厅线上线下融合发展，进一步整合优化实体办事大厅“一站式”功能，加快实现“一个窗口”“一次办理”。推动更多服务事项“一网通办”。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区政务服务办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各有关单位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　各单位要高度重视政务公开工作，进一步理顺和完善领导体制和工作机制，加强政务公开制度建设，抓紧补齐政务公开各项工作配套制度或操作办法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配齐配强工作人员，加强政务公开工作经费保障。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区级各有关部门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各镇（乡)街道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  各单位要结合新条例的贯彻实施和机构改革编制职能调整实际，抓紧启动政务公开工作相关制度、机构概况、公开目录指南的重新梳理和修改完善工作，确保信息公开平台上公开的机构概况（包括电话号码）、公开指南等基本信息准确无误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区级各有关部门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各镇（乡)街道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7月底前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　严格落实依申请公开规范办理机制，加强对疑难问题的理论研究和案例分析，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各单位依申请公开答复要按规定报区政府办公室备案，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完善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后续行政争议应对机制。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区级各有关部门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各镇（乡)街道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5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　　鼓励各单位创新公开方式方法，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先进经验、特色亮点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及时报区政府办公室</w:t>
            </w: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，一经上级录用，年底考核进行相应加分。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区级各有关部门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各镇（乡)街道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</w:tr>
    </w:tbl>
    <w:p/>
    <w:p>
      <w:pPr>
        <w:numPr>
          <w:ilvl w:val="0"/>
          <w:numId w:val="0"/>
        </w:numPr>
        <w:wordWrap/>
        <w:adjustRightInd/>
        <w:snapToGrid/>
        <w:spacing w:line="580" w:lineRule="exact"/>
        <w:ind w:firstLine="620" w:firstLineChars="200"/>
        <w:jc w:val="both"/>
        <w:textAlignment w:val="auto"/>
        <w:outlineLvl w:val="9"/>
        <w:rPr>
          <w:rFonts w:hint="eastAsia" w:ascii="仿宋_GB2312" w:hAnsi="宋体" w:eastAsia="仿宋_GB2312" w:cs="Times New Roman"/>
          <w:color w:val="auto"/>
          <w:kern w:val="0"/>
          <w:sz w:val="31"/>
          <w:szCs w:val="31"/>
          <w:shd w:val="clear" w:color="auto" w:fill="FFFFFF"/>
          <w:lang w:val="en-US" w:eastAsia="zh-CN" w:bidi="ar-SA"/>
        </w:rPr>
      </w:pPr>
    </w:p>
    <w:p>
      <w:pPr>
        <w:numPr>
          <w:ilvl w:val="0"/>
          <w:numId w:val="0"/>
        </w:numPr>
        <w:wordWrap/>
        <w:adjustRightInd/>
        <w:snapToGrid/>
        <w:spacing w:line="580" w:lineRule="exact"/>
        <w:ind w:firstLine="620" w:firstLineChars="200"/>
        <w:jc w:val="both"/>
        <w:textAlignment w:val="auto"/>
        <w:outlineLvl w:val="9"/>
        <w:rPr>
          <w:rFonts w:hint="eastAsia" w:ascii="仿宋_GB2312" w:hAnsi="宋体" w:eastAsia="仿宋_GB2312" w:cs="Times New Roman"/>
          <w:color w:val="auto"/>
          <w:kern w:val="0"/>
          <w:sz w:val="31"/>
          <w:szCs w:val="31"/>
          <w:shd w:val="clear" w:color="auto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2019-06-28T02:10:03Z</dcterms:created>
  <dc:creator>jiangst</dc:creator>
  <cp:lastModifiedBy>Orion</cp:lastModifiedBy>
  <dcterms:modified xsi:type="dcterms:W3CDTF">2019-06-28T02:10:18Z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