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napToGrid w:val="0"/>
          <w:color w:val="000000"/>
          <w:spacing w:val="-4"/>
          <w:sz w:val="44"/>
          <w:szCs w:val="44"/>
          <w:lang w:eastAsia="zh-CN"/>
        </w:rPr>
      </w:pPr>
      <w:r>
        <w:rPr>
          <w:rFonts w:hint="eastAsia" w:ascii="方正小标宋简体" w:hAnsi="方正小标宋简体" w:eastAsia="方正小标宋简体" w:cs="方正小标宋简体"/>
          <w:snapToGrid w:val="0"/>
          <w:color w:val="000000"/>
          <w:spacing w:val="-4"/>
          <w:sz w:val="44"/>
          <w:szCs w:val="44"/>
          <w:lang w:eastAsia="zh-CN"/>
        </w:rPr>
        <w:t>宁波市海曙</w:t>
      </w:r>
      <w:r>
        <w:rPr>
          <w:rFonts w:hint="eastAsia" w:ascii="方正小标宋简体" w:hAnsi="方正小标宋简体" w:eastAsia="方正小标宋简体" w:cs="方正小标宋简体"/>
          <w:snapToGrid w:val="0"/>
          <w:color w:val="000000"/>
          <w:spacing w:val="-4"/>
          <w:sz w:val="44"/>
          <w:szCs w:val="44"/>
        </w:rPr>
        <w:t>区人民政府</w:t>
      </w:r>
      <w:r>
        <w:rPr>
          <w:rFonts w:hint="eastAsia" w:ascii="方正小标宋简体" w:hAnsi="方正小标宋简体" w:eastAsia="方正小标宋简体" w:cs="方正小标宋简体"/>
          <w:snapToGrid w:val="0"/>
          <w:color w:val="000000"/>
          <w:spacing w:val="-4"/>
          <w:sz w:val="44"/>
          <w:szCs w:val="44"/>
          <w:lang w:eastAsia="zh-CN"/>
        </w:rPr>
        <w:t>办公室</w:t>
      </w: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napToGrid w:val="0"/>
          <w:color w:val="000000"/>
          <w:spacing w:val="-4"/>
          <w:sz w:val="44"/>
          <w:szCs w:val="44"/>
          <w:lang w:val="en-US" w:eastAsia="zh-CN"/>
        </w:rPr>
        <w:t>2017年</w:t>
      </w:r>
      <w:r>
        <w:rPr>
          <w:rFonts w:hint="eastAsia" w:ascii="方正小标宋简体" w:hAnsi="方正小标宋简体" w:eastAsia="方正小标宋简体" w:cs="方正小标宋简体"/>
          <w:snapToGrid w:val="0"/>
          <w:color w:val="000000"/>
          <w:spacing w:val="-4"/>
          <w:sz w:val="44"/>
          <w:szCs w:val="44"/>
          <w:lang w:eastAsia="zh-CN"/>
        </w:rPr>
        <w:t>政府信息公开工作年度报告</w:t>
      </w:r>
    </w:p>
    <w:p>
      <w:pPr>
        <w:spacing w:line="550" w:lineRule="exact"/>
        <w:ind w:firstLine="640" w:firstLineChars="200"/>
        <w:rPr>
          <w:rStyle w:val="11"/>
          <w:rFonts w:hint="eastAsia" w:ascii="仿宋" w:hAnsi="仿宋" w:eastAsia="仿宋" w:cs="Arial"/>
          <w:color w:val="000000"/>
          <w:sz w:val="32"/>
          <w:szCs w:val="32"/>
        </w:rPr>
      </w:pPr>
    </w:p>
    <w:p>
      <w:pPr>
        <w:spacing w:line="550" w:lineRule="exact"/>
        <w:ind w:firstLine="640" w:firstLineChars="200"/>
        <w:rPr>
          <w:rStyle w:val="11"/>
          <w:rFonts w:hint="eastAsia" w:ascii="仿宋_GB2312" w:hAnsi="仿宋_GB2312" w:eastAsia="仿宋_GB2312" w:cs="仿宋_GB2312"/>
          <w:color w:val="000000"/>
          <w:sz w:val="32"/>
          <w:szCs w:val="32"/>
        </w:rPr>
      </w:pPr>
      <w:r>
        <w:rPr>
          <w:rStyle w:val="11"/>
          <w:rFonts w:hint="eastAsia" w:ascii="仿宋_GB2312" w:hAnsi="仿宋_GB2312" w:eastAsia="仿宋_GB2312" w:cs="仿宋_GB2312"/>
          <w:color w:val="000000"/>
          <w:sz w:val="32"/>
          <w:szCs w:val="32"/>
        </w:rPr>
        <w:t>本年度报告根据《中华人民共和国政府信息公开条例》（以下简称《条例》）和《宁波市政府信息公开规定》（以下简称《规定》）要求</w:t>
      </w:r>
      <w:r>
        <w:rPr>
          <w:rFonts w:hint="eastAsia" w:ascii="仿宋_GB2312" w:hAnsi="仿宋_GB2312" w:eastAsia="仿宋_GB2312" w:cs="仿宋_GB2312"/>
          <w:snapToGrid w:val="0"/>
          <w:spacing w:val="-4"/>
          <w:sz w:val="32"/>
          <w:szCs w:val="32"/>
        </w:rPr>
        <w:t>，</w:t>
      </w:r>
      <w:r>
        <w:rPr>
          <w:rStyle w:val="11"/>
          <w:rFonts w:hint="eastAsia" w:ascii="仿宋_GB2312" w:hAnsi="仿宋_GB2312" w:eastAsia="仿宋_GB2312" w:cs="仿宋_GB2312"/>
          <w:color w:val="000000"/>
          <w:sz w:val="32"/>
          <w:szCs w:val="32"/>
        </w:rPr>
        <w:t>结合宁波市</w:t>
      </w:r>
      <w:r>
        <w:rPr>
          <w:rStyle w:val="11"/>
          <w:rFonts w:hint="eastAsia" w:ascii="仿宋_GB2312" w:hAnsi="仿宋_GB2312" w:eastAsia="仿宋_GB2312" w:cs="仿宋_GB2312"/>
          <w:color w:val="000000"/>
          <w:sz w:val="32"/>
          <w:szCs w:val="32"/>
          <w:lang w:eastAsia="zh-CN"/>
        </w:rPr>
        <w:t>海曙区</w:t>
      </w:r>
      <w:r>
        <w:rPr>
          <w:rStyle w:val="11"/>
          <w:rFonts w:hint="eastAsia" w:ascii="仿宋_GB2312" w:hAnsi="仿宋_GB2312" w:eastAsia="仿宋_GB2312" w:cs="仿宋_GB2312"/>
          <w:color w:val="000000"/>
          <w:sz w:val="32"/>
          <w:szCs w:val="32"/>
        </w:rPr>
        <w:t>人民政府</w:t>
      </w:r>
      <w:r>
        <w:rPr>
          <w:rStyle w:val="11"/>
          <w:rFonts w:hint="eastAsia" w:ascii="仿宋_GB2312" w:hAnsi="仿宋_GB2312" w:eastAsia="仿宋_GB2312" w:cs="仿宋_GB2312"/>
          <w:color w:val="000000"/>
          <w:sz w:val="32"/>
          <w:szCs w:val="32"/>
          <w:lang w:eastAsia="zh-CN"/>
        </w:rPr>
        <w:t>办公室</w:t>
      </w:r>
      <w:r>
        <w:rPr>
          <w:rStyle w:val="11"/>
          <w:rFonts w:hint="eastAsia" w:ascii="仿宋_GB2312" w:hAnsi="仿宋_GB2312" w:eastAsia="仿宋_GB2312" w:cs="仿宋_GB2312"/>
          <w:color w:val="000000"/>
          <w:sz w:val="32"/>
          <w:szCs w:val="32"/>
        </w:rPr>
        <w:t>2017年度政府信息公开工作编制而成。本年报由概述、主动公开政府信息基本情况、依申请公开政府信息情况、政府信息公开收费及减免情况、因政府信息引起投诉</w:t>
      </w:r>
      <w:r>
        <w:rPr>
          <w:rStyle w:val="11"/>
          <w:rFonts w:hint="eastAsia" w:ascii="仿宋_GB2312" w:hAnsi="仿宋_GB2312" w:eastAsia="仿宋_GB2312" w:cs="仿宋_GB2312"/>
          <w:color w:val="000000"/>
          <w:sz w:val="32"/>
          <w:szCs w:val="32"/>
          <w:lang w:eastAsia="zh-CN"/>
        </w:rPr>
        <w:t>和</w:t>
      </w:r>
      <w:r>
        <w:rPr>
          <w:rStyle w:val="11"/>
          <w:rFonts w:hint="eastAsia" w:ascii="仿宋_GB2312" w:hAnsi="仿宋_GB2312" w:eastAsia="仿宋_GB2312" w:cs="仿宋_GB2312"/>
          <w:color w:val="000000"/>
          <w:sz w:val="32"/>
          <w:szCs w:val="32"/>
        </w:rPr>
        <w:t>申请行政复议及提起行政诉讼情况、政府信息公开工作存在的主要问题和改进措施、其他需要报告的事项等</w:t>
      </w:r>
      <w:r>
        <w:rPr>
          <w:rStyle w:val="11"/>
          <w:rFonts w:hint="eastAsia" w:ascii="仿宋_GB2312" w:hAnsi="仿宋_GB2312" w:eastAsia="仿宋_GB2312" w:cs="仿宋_GB2312"/>
          <w:color w:val="000000"/>
          <w:sz w:val="32"/>
          <w:szCs w:val="32"/>
          <w:lang w:eastAsia="zh-CN"/>
        </w:rPr>
        <w:t>七</w:t>
      </w:r>
      <w:r>
        <w:rPr>
          <w:rStyle w:val="11"/>
          <w:rFonts w:hint="eastAsia" w:ascii="仿宋_GB2312" w:hAnsi="仿宋_GB2312" w:eastAsia="仿宋_GB2312" w:cs="仿宋_GB2312"/>
          <w:color w:val="000000"/>
          <w:sz w:val="32"/>
          <w:szCs w:val="32"/>
        </w:rPr>
        <w:t>部分组成。</w:t>
      </w:r>
    </w:p>
    <w:p>
      <w:pPr>
        <w:spacing w:line="550" w:lineRule="exact"/>
        <w:ind w:firstLine="640" w:firstLineChars="200"/>
        <w:rPr>
          <w:rStyle w:val="11"/>
          <w:rFonts w:hint="eastAsia" w:ascii="仿宋_GB2312" w:hAnsi="仿宋_GB2312" w:eastAsia="仿宋_GB2312" w:cs="仿宋_GB2312"/>
          <w:color w:val="000000"/>
          <w:sz w:val="32"/>
          <w:szCs w:val="32"/>
          <w:lang w:eastAsia="zh-CN"/>
        </w:rPr>
      </w:pPr>
      <w:r>
        <w:rPr>
          <w:rStyle w:val="11"/>
          <w:rFonts w:hint="eastAsia" w:ascii="仿宋_GB2312" w:hAnsi="仿宋_GB2312" w:eastAsia="仿宋_GB2312" w:cs="仿宋_GB2312"/>
          <w:color w:val="000000"/>
          <w:sz w:val="32"/>
          <w:szCs w:val="32"/>
        </w:rPr>
        <w:t>本年度报告中所列数据的统计期限从2017年1月1日到12月31日止。</w:t>
      </w:r>
      <w:r>
        <w:rPr>
          <w:rStyle w:val="11"/>
          <w:rFonts w:hint="eastAsia" w:ascii="仿宋_GB2312" w:hAnsi="仿宋_GB2312" w:eastAsia="仿宋_GB2312" w:cs="仿宋_GB2312"/>
          <w:color w:val="000000"/>
          <w:sz w:val="32"/>
          <w:szCs w:val="32"/>
          <w:lang w:eastAsia="zh-CN"/>
        </w:rPr>
        <w:t>本报告的电子版可在海曙区政府信息公开网站（www.</w:t>
      </w:r>
      <w:r>
        <w:rPr>
          <w:rStyle w:val="11"/>
          <w:rFonts w:hint="eastAsia" w:ascii="仿宋_GB2312" w:hAnsi="仿宋_GB2312" w:eastAsia="仿宋_GB2312" w:cs="仿宋_GB2312"/>
          <w:color w:val="000000"/>
          <w:sz w:val="32"/>
          <w:szCs w:val="32"/>
          <w:lang w:val="en-US" w:eastAsia="zh-CN"/>
        </w:rPr>
        <w:t>xx</w:t>
      </w:r>
      <w:r>
        <w:rPr>
          <w:rStyle w:val="11"/>
          <w:rFonts w:hint="eastAsia" w:ascii="仿宋_GB2312" w:hAnsi="仿宋_GB2312" w:eastAsia="仿宋_GB2312" w:cs="仿宋_GB2312"/>
          <w:color w:val="000000"/>
          <w:sz w:val="32"/>
          <w:szCs w:val="32"/>
          <w:lang w:eastAsia="zh-CN"/>
        </w:rPr>
        <w:fldChar w:fldCharType="begin"/>
      </w:r>
      <w:r>
        <w:rPr>
          <w:rStyle w:val="11"/>
          <w:rFonts w:hint="eastAsia" w:ascii="仿宋_GB2312" w:hAnsi="仿宋_GB2312" w:eastAsia="仿宋_GB2312" w:cs="仿宋_GB2312"/>
          <w:color w:val="000000"/>
          <w:sz w:val="32"/>
          <w:szCs w:val="32"/>
          <w:lang w:eastAsia="zh-CN"/>
        </w:rPr>
        <w:instrText xml:space="preserve"> HYPERLINK "http://www.shanghai.gov.cn" </w:instrText>
      </w:r>
      <w:r>
        <w:rPr>
          <w:rStyle w:val="11"/>
          <w:rFonts w:hint="eastAsia" w:ascii="仿宋_GB2312" w:hAnsi="仿宋_GB2312" w:eastAsia="仿宋_GB2312" w:cs="仿宋_GB2312"/>
          <w:color w:val="000000"/>
          <w:sz w:val="32"/>
          <w:szCs w:val="32"/>
          <w:lang w:eastAsia="zh-CN"/>
        </w:rPr>
        <w:fldChar w:fldCharType="separate"/>
      </w:r>
      <w:r>
        <w:rPr>
          <w:rStyle w:val="11"/>
          <w:rFonts w:hint="eastAsia" w:ascii="仿宋_GB2312" w:hAnsi="仿宋_GB2312" w:eastAsia="仿宋_GB2312" w:cs="仿宋_GB2312"/>
          <w:color w:val="000000"/>
          <w:sz w:val="32"/>
          <w:szCs w:val="32"/>
          <w:lang w:eastAsia="zh-CN"/>
        </w:rPr>
        <w:t>gk.haishu.gov.cn</w:t>
      </w:r>
      <w:r>
        <w:rPr>
          <w:rStyle w:val="11"/>
          <w:rFonts w:hint="eastAsia" w:ascii="仿宋_GB2312" w:hAnsi="仿宋_GB2312" w:eastAsia="仿宋_GB2312" w:cs="仿宋_GB2312"/>
          <w:color w:val="000000"/>
          <w:sz w:val="32"/>
          <w:szCs w:val="32"/>
          <w:lang w:eastAsia="zh-CN"/>
        </w:rPr>
        <w:fldChar w:fldCharType="end"/>
      </w:r>
      <w:r>
        <w:rPr>
          <w:rStyle w:val="11"/>
          <w:rFonts w:hint="eastAsia" w:ascii="仿宋_GB2312" w:hAnsi="仿宋_GB2312" w:eastAsia="仿宋_GB2312" w:cs="仿宋_GB2312"/>
          <w:color w:val="000000"/>
          <w:sz w:val="32"/>
          <w:szCs w:val="32"/>
          <w:lang w:eastAsia="zh-CN"/>
        </w:rPr>
        <w:t>）下载。如对报告有任何疑问，请与海曙区人民政府办公室联系（地址：宁波市海曙区县前街</w:t>
      </w:r>
      <w:r>
        <w:rPr>
          <w:rStyle w:val="11"/>
          <w:rFonts w:hint="eastAsia" w:ascii="仿宋_GB2312" w:hAnsi="仿宋_GB2312" w:eastAsia="仿宋_GB2312" w:cs="仿宋_GB2312"/>
          <w:color w:val="000000"/>
          <w:sz w:val="32"/>
          <w:szCs w:val="32"/>
          <w:lang w:val="en-US" w:eastAsia="zh-CN"/>
        </w:rPr>
        <w:t>61号，邮编：3151000，电话：0574-55889195，电子邮箱：hszwgk@ningbo.gov.cn）。</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一、概述</w:t>
      </w:r>
    </w:p>
    <w:p>
      <w:pPr>
        <w:keepNext w:val="0"/>
        <w:keepLines w:val="0"/>
        <w:pageBreakBefore w:val="0"/>
        <w:kinsoku/>
        <w:wordWrap/>
        <w:overflowPunct/>
        <w:topLinePunct w:val="0"/>
        <w:autoSpaceDE/>
        <w:autoSpaceDN/>
        <w:bidi w:val="0"/>
        <w:adjustRightInd/>
        <w:spacing w:before="0" w:beforeLines="0" w:beforeAutospacing="0" w:after="0" w:afterLines="0" w:afterAutospacing="0" w:line="600" w:lineRule="exact"/>
        <w:ind w:right="0" w:rightChars="0" w:firstLine="640" w:firstLineChars="200"/>
        <w:textAlignment w:val="auto"/>
        <w:outlineLvl w:val="9"/>
        <w:rPr>
          <w:rFonts w:hint="eastAsia" w:ascii="仿宋_GB2312" w:hAnsi="仿宋_GB2312" w:eastAsia="仿宋_GB2312" w:cs="仿宋_GB2312"/>
          <w:snapToGrid w:val="0"/>
          <w:spacing w:val="-4"/>
          <w:sz w:val="32"/>
          <w:szCs w:val="32"/>
        </w:rPr>
      </w:pP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rPr>
        <w:t>，区政府办公室认真贯彻《条例》精神，</w:t>
      </w:r>
      <w:r>
        <w:rPr>
          <w:rFonts w:hint="eastAsia" w:ascii="仿宋_GB2312" w:hAnsi="仿宋_GB2312" w:eastAsia="仿宋_GB2312" w:cs="仿宋_GB2312"/>
          <w:snapToGrid w:val="0"/>
          <w:spacing w:val="-4"/>
          <w:sz w:val="32"/>
          <w:szCs w:val="32"/>
        </w:rPr>
        <w:t>扎实落实《条例》和《国务院办公厅关于印发2017年政务公开工作要点的通知》（国办发〔2017〕24号）、《浙江省人民政府办公厅关于印发浙江省全面推进政务公开工作实施细则的通知》（浙政办发〔2017〕42号）以及《宁波市人民政府办公厅关于印发2017年宁波市政务公开工作要点的通知》（甬政办发〔2017〕65号）要求，进一步加强领导，健全制度，落实责任，深化主动公开内容，规范依申请公开受理机制，强化解读回应。一年来，</w:t>
      </w:r>
      <w:r>
        <w:rPr>
          <w:rFonts w:hint="eastAsia" w:ascii="仿宋_GB2312" w:hAnsi="仿宋_GB2312" w:eastAsia="仿宋_GB2312" w:cs="仿宋_GB2312"/>
          <w:snapToGrid w:val="0"/>
          <w:spacing w:val="-4"/>
          <w:sz w:val="32"/>
          <w:szCs w:val="32"/>
          <w:lang w:eastAsia="zh-CN"/>
        </w:rPr>
        <w:t>区政府办公室</w:t>
      </w:r>
      <w:r>
        <w:rPr>
          <w:rFonts w:hint="eastAsia" w:ascii="仿宋_GB2312" w:hAnsi="仿宋_GB2312" w:eastAsia="仿宋_GB2312" w:cs="仿宋_GB2312"/>
          <w:snapToGrid w:val="0"/>
          <w:spacing w:val="-4"/>
          <w:sz w:val="32"/>
          <w:szCs w:val="32"/>
        </w:rPr>
        <w:t>在加强政府信息公开工作上突出抓了以下</w:t>
      </w:r>
      <w:r>
        <w:rPr>
          <w:rFonts w:hint="eastAsia" w:ascii="仿宋_GB2312" w:hAnsi="仿宋_GB2312" w:eastAsia="仿宋_GB2312" w:cs="仿宋_GB2312"/>
          <w:snapToGrid w:val="0"/>
          <w:spacing w:val="-4"/>
          <w:sz w:val="32"/>
          <w:szCs w:val="32"/>
          <w:lang w:eastAsia="zh-CN"/>
        </w:rPr>
        <w:t>四</w:t>
      </w:r>
      <w:r>
        <w:rPr>
          <w:rFonts w:hint="eastAsia" w:ascii="仿宋_GB2312" w:hAnsi="仿宋_GB2312" w:eastAsia="仿宋_GB2312" w:cs="仿宋_GB2312"/>
          <w:snapToGrid w:val="0"/>
          <w:spacing w:val="-4"/>
          <w:sz w:val="32"/>
          <w:szCs w:val="32"/>
        </w:rPr>
        <w:t>个方面：</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snapToGrid w:val="0"/>
          <w:spacing w:val="-4"/>
          <w:sz w:val="32"/>
          <w:szCs w:val="32"/>
        </w:rPr>
      </w:pPr>
      <w:r>
        <w:rPr>
          <w:rFonts w:hint="eastAsia" w:ascii="楷体_GB2312" w:eastAsia="楷体_GB2312"/>
          <w:color w:val="000000"/>
          <w:sz w:val="32"/>
          <w:szCs w:val="32"/>
        </w:rPr>
        <w:t>（一）</w:t>
      </w:r>
      <w:r>
        <w:rPr>
          <w:rFonts w:hint="eastAsia" w:ascii="楷体_GB2312" w:eastAsia="楷体_GB2312"/>
          <w:color w:val="000000"/>
          <w:sz w:val="32"/>
          <w:szCs w:val="32"/>
          <w:lang w:eastAsia="zh-CN"/>
        </w:rPr>
        <w:t>制定年度工作要点。起草</w:t>
      </w:r>
      <w:r>
        <w:rPr>
          <w:rFonts w:hint="eastAsia" w:ascii="仿宋_GB2312" w:hAnsi="仿宋_GB2312" w:eastAsia="仿宋_GB2312" w:cs="仿宋_GB2312"/>
          <w:snapToGrid w:val="0"/>
          <w:spacing w:val="-4"/>
          <w:sz w:val="32"/>
          <w:szCs w:val="32"/>
          <w:lang w:eastAsia="zh-CN"/>
        </w:rPr>
        <w:t>制定《</w:t>
      </w:r>
      <w:r>
        <w:rPr>
          <w:rFonts w:hint="eastAsia" w:ascii="仿宋_GB2312" w:hAnsi="仿宋_GB2312" w:eastAsia="仿宋_GB2312" w:cs="仿宋_GB2312"/>
          <w:snapToGrid w:val="0"/>
          <w:spacing w:val="-4"/>
          <w:sz w:val="32"/>
          <w:szCs w:val="32"/>
          <w:lang w:val="en-US" w:eastAsia="zh-CN"/>
        </w:rPr>
        <w:t>2017年海曙区政务公开工作要点</w:t>
      </w:r>
      <w:r>
        <w:rPr>
          <w:rFonts w:hint="eastAsia" w:ascii="仿宋_GB2312" w:hAnsi="仿宋_GB2312" w:eastAsia="仿宋_GB2312" w:cs="仿宋_GB2312"/>
          <w:snapToGrid w:val="0"/>
          <w:spacing w:val="-4"/>
          <w:sz w:val="32"/>
          <w:szCs w:val="32"/>
          <w:lang w:eastAsia="zh-CN"/>
        </w:rPr>
        <w:t>》，细化了各公开成员单位</w:t>
      </w:r>
      <w:r>
        <w:rPr>
          <w:rFonts w:hint="eastAsia" w:ascii="仿宋_GB2312" w:hAnsi="仿宋_GB2312" w:eastAsia="仿宋_GB2312" w:cs="仿宋_GB2312"/>
          <w:snapToGrid w:val="0"/>
          <w:spacing w:val="-4"/>
          <w:sz w:val="32"/>
          <w:szCs w:val="32"/>
          <w:lang w:val="en-US" w:eastAsia="zh-CN"/>
        </w:rPr>
        <w:t>2017年政务公开各重点领域的公开内容</w:t>
      </w:r>
      <w:r>
        <w:rPr>
          <w:rFonts w:hint="eastAsia" w:ascii="仿宋_GB2312" w:hAnsi="仿宋_GB2312" w:eastAsia="仿宋_GB2312" w:cs="仿宋_GB2312"/>
          <w:snapToGrid w:val="0"/>
          <w:spacing w:val="-4"/>
          <w:sz w:val="32"/>
          <w:szCs w:val="32"/>
          <w:lang w:eastAsia="zh-CN"/>
        </w:rPr>
        <w:t>，</w:t>
      </w:r>
      <w:r>
        <w:rPr>
          <w:rFonts w:hint="eastAsia" w:ascii="仿宋_GB2312" w:hAnsi="仿宋_GB2312" w:eastAsia="仿宋_GB2312" w:cs="仿宋_GB2312"/>
          <w:snapToGrid w:val="0"/>
          <w:spacing w:val="-4"/>
          <w:sz w:val="32"/>
          <w:szCs w:val="32"/>
        </w:rPr>
        <w:t>把</w:t>
      </w:r>
      <w:r>
        <w:rPr>
          <w:rFonts w:hint="eastAsia" w:ascii="仿宋_GB2312" w:hAnsi="仿宋_GB2312" w:eastAsia="仿宋_GB2312" w:cs="仿宋_GB2312"/>
          <w:snapToGrid w:val="0"/>
          <w:spacing w:val="-4"/>
          <w:sz w:val="32"/>
          <w:szCs w:val="32"/>
          <w:lang w:val="en-US" w:eastAsia="zh-CN"/>
        </w:rPr>
        <w:t>22</w:t>
      </w:r>
      <w:r>
        <w:rPr>
          <w:rFonts w:hint="eastAsia" w:ascii="仿宋_GB2312" w:hAnsi="仿宋_GB2312" w:eastAsia="仿宋_GB2312" w:cs="仿宋_GB2312"/>
          <w:snapToGrid w:val="0"/>
          <w:spacing w:val="-4"/>
          <w:sz w:val="32"/>
          <w:szCs w:val="32"/>
        </w:rPr>
        <w:t>项重点工作逐项落实到</w:t>
      </w:r>
      <w:r>
        <w:rPr>
          <w:rFonts w:hint="eastAsia" w:ascii="仿宋_GB2312" w:hAnsi="仿宋_GB2312" w:eastAsia="仿宋_GB2312" w:cs="仿宋_GB2312"/>
          <w:snapToGrid w:val="0"/>
          <w:spacing w:val="-4"/>
          <w:sz w:val="32"/>
          <w:szCs w:val="32"/>
          <w:lang w:val="en-US" w:eastAsia="zh-CN"/>
        </w:rPr>
        <w:t>20</w:t>
      </w:r>
      <w:r>
        <w:rPr>
          <w:rFonts w:hint="eastAsia" w:ascii="仿宋_GB2312" w:hAnsi="仿宋_GB2312" w:eastAsia="仿宋_GB2312" w:cs="仿宋_GB2312"/>
          <w:snapToGrid w:val="0"/>
          <w:spacing w:val="-4"/>
          <w:sz w:val="32"/>
          <w:szCs w:val="32"/>
        </w:rPr>
        <w:t>个</w:t>
      </w:r>
      <w:r>
        <w:rPr>
          <w:rFonts w:hint="eastAsia" w:ascii="仿宋_GB2312" w:hAnsi="仿宋_GB2312" w:eastAsia="仿宋_GB2312" w:cs="仿宋_GB2312"/>
          <w:snapToGrid w:val="0"/>
          <w:spacing w:val="-4"/>
          <w:sz w:val="32"/>
          <w:szCs w:val="32"/>
          <w:lang w:eastAsia="zh-CN"/>
        </w:rPr>
        <w:t>区级</w:t>
      </w:r>
      <w:r>
        <w:rPr>
          <w:rFonts w:hint="eastAsia" w:ascii="仿宋_GB2312" w:hAnsi="仿宋_GB2312" w:eastAsia="仿宋_GB2312" w:cs="仿宋_GB2312"/>
          <w:snapToGrid w:val="0"/>
          <w:spacing w:val="-4"/>
          <w:sz w:val="32"/>
          <w:szCs w:val="32"/>
        </w:rPr>
        <w:t>部门。</w:t>
      </w:r>
    </w:p>
    <w:p>
      <w:pPr>
        <w:keepNext w:val="0"/>
        <w:keepLines w:val="0"/>
        <w:pageBreakBefore w:val="0"/>
        <w:widowControl w:val="0"/>
        <w:numPr>
          <w:ilvl w:val="0"/>
          <w:numId w:val="0"/>
        </w:numPr>
        <w:kinsoku/>
        <w:wordWrap/>
        <w:overflowPunct/>
        <w:topLinePunct w:val="0"/>
        <w:autoSpaceDE/>
        <w:autoSpaceDN/>
        <w:bidi w:val="0"/>
        <w:adjustRightInd/>
        <w:spacing w:line="580" w:lineRule="exact"/>
        <w:ind w:right="0" w:rightChars="0" w:firstLine="624" w:firstLineChars="200"/>
        <w:jc w:val="both"/>
        <w:textAlignment w:val="auto"/>
        <w:outlineLvl w:val="9"/>
        <w:rPr>
          <w:rFonts w:hint="eastAsia" w:ascii="仿宋_GB2312" w:hAnsi="仿宋_GB2312" w:eastAsia="仿宋_GB2312" w:cs="仿宋_GB2312"/>
          <w:snapToGrid w:val="0"/>
          <w:spacing w:val="-4"/>
          <w:sz w:val="32"/>
          <w:szCs w:val="32"/>
          <w:lang w:val="en-US" w:eastAsia="zh-CN"/>
        </w:rPr>
      </w:pPr>
      <w:r>
        <w:rPr>
          <w:rFonts w:hint="eastAsia" w:ascii="楷体_GB2312" w:hAnsi="楷体_GB2312" w:eastAsia="楷体_GB2312" w:cs="楷体_GB2312"/>
          <w:snapToGrid w:val="0"/>
          <w:spacing w:val="-4"/>
          <w:kern w:val="32"/>
          <w:sz w:val="32"/>
          <w:szCs w:val="32"/>
          <w:lang w:val="en-US" w:eastAsia="zh-CN"/>
        </w:rPr>
        <w:t>（二）全面落实“五公开”工作机制。</w:t>
      </w:r>
      <w:r>
        <w:rPr>
          <w:rFonts w:hint="eastAsia" w:ascii="仿宋_GB2312" w:hAnsi="仿宋_GB2312" w:eastAsia="仿宋_GB2312" w:cs="仿宋_GB2312"/>
          <w:snapToGrid w:val="0"/>
          <w:spacing w:val="-4"/>
          <w:sz w:val="32"/>
          <w:szCs w:val="32"/>
          <w:lang w:val="en-US" w:eastAsia="zh-CN"/>
        </w:rPr>
        <w:t>发布《关于将“五公开”纳入办文办会程序的通知》</w:t>
      </w:r>
      <w:r>
        <w:rPr>
          <w:rFonts w:hint="eastAsia" w:ascii="仿宋_GB2312" w:hAnsi="仿宋" w:eastAsia="仿宋_GB2312"/>
          <w:spacing w:val="-4"/>
          <w:kern w:val="0"/>
          <w:sz w:val="32"/>
          <w:szCs w:val="32"/>
          <w:lang w:val="en-US" w:eastAsia="zh-CN" w:bidi="ar-SA"/>
        </w:rPr>
        <w:t>（</w:t>
      </w:r>
      <w:r>
        <w:rPr>
          <w:rFonts w:hint="eastAsia" w:ascii="仿宋_GB2312" w:eastAsia="仿宋_GB2312"/>
          <w:spacing w:val="-4"/>
          <w:sz w:val="32"/>
          <w:lang w:eastAsia="zh-CN"/>
        </w:rPr>
        <w:t>海政办发</w:t>
      </w:r>
      <w:r>
        <w:rPr>
          <w:rFonts w:hint="eastAsia" w:ascii="仿宋" w:hAnsi="仿宋" w:eastAsia="仿宋"/>
          <w:snapToGrid w:val="0"/>
          <w:spacing w:val="-4"/>
          <w:sz w:val="32"/>
          <w:szCs w:val="32"/>
        </w:rPr>
        <w:t>〔2017〕</w:t>
      </w:r>
      <w:r>
        <w:rPr>
          <w:rFonts w:hint="eastAsia" w:ascii="仿宋" w:hAnsi="仿宋" w:eastAsia="仿宋"/>
          <w:snapToGrid w:val="0"/>
          <w:spacing w:val="-4"/>
          <w:sz w:val="32"/>
          <w:szCs w:val="32"/>
          <w:lang w:val="en-US" w:eastAsia="zh-CN"/>
        </w:rPr>
        <w:t>136</w:t>
      </w:r>
      <w:r>
        <w:rPr>
          <w:rFonts w:hint="eastAsia" w:ascii="仿宋" w:hAnsi="仿宋" w:eastAsia="仿宋"/>
          <w:snapToGrid w:val="0"/>
          <w:spacing w:val="-4"/>
          <w:sz w:val="32"/>
          <w:szCs w:val="32"/>
        </w:rPr>
        <w:t>号</w:t>
      </w:r>
      <w:r>
        <w:rPr>
          <w:rFonts w:hint="eastAsia" w:ascii="仿宋" w:hAnsi="仿宋" w:eastAsia="仿宋"/>
          <w:snapToGrid w:val="0"/>
          <w:spacing w:val="-4"/>
          <w:sz w:val="32"/>
          <w:szCs w:val="32"/>
          <w:lang w:eastAsia="zh-CN"/>
        </w:rPr>
        <w:t>）</w:t>
      </w:r>
      <w:r>
        <w:rPr>
          <w:rFonts w:hint="eastAsia" w:ascii="仿宋_GB2312" w:hAnsi="仿宋_GB2312" w:eastAsia="仿宋_GB2312" w:cs="仿宋_GB2312"/>
          <w:snapToGrid w:val="0"/>
          <w:spacing w:val="-4"/>
          <w:sz w:val="32"/>
          <w:szCs w:val="32"/>
          <w:lang w:val="en-US" w:eastAsia="zh-CN"/>
        </w:rPr>
        <w:t>，建立部门代拟的区政府文件公开属性事前认定机制，上报区政府代拟稿未明确公开属性建议的，区政府办公室按规定予以退文补报。加强政策解读和图解工作，2017年区政府办公室共发布政策图解7件，解读文件3件。</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snapToGrid w:val="0"/>
          <w:spacing w:val="-4"/>
          <w:sz w:val="32"/>
          <w:szCs w:val="32"/>
          <w:lang w:val="en-US" w:eastAsia="zh-CN"/>
        </w:rPr>
      </w:pPr>
      <w:r>
        <w:rPr>
          <w:rFonts w:hint="eastAsia" w:ascii="楷体_GB2312" w:eastAsia="楷体_GB2312"/>
          <w:color w:val="000000"/>
          <w:sz w:val="32"/>
          <w:szCs w:val="32"/>
          <w:lang w:eastAsia="zh-CN"/>
        </w:rPr>
        <w:t>（三）严格审查考核</w:t>
      </w:r>
      <w:r>
        <w:rPr>
          <w:rFonts w:hint="eastAsia" w:ascii="楷体_GB2312" w:eastAsia="楷体_GB2312"/>
          <w:color w:val="000000"/>
          <w:sz w:val="32"/>
          <w:szCs w:val="32"/>
        </w:rPr>
        <w:t>。</w:t>
      </w:r>
      <w:r>
        <w:rPr>
          <w:rFonts w:hint="eastAsia" w:ascii="仿宋_GB2312" w:hAnsi="仿宋_GB2312" w:eastAsia="仿宋_GB2312" w:cs="仿宋_GB2312"/>
          <w:snapToGrid w:val="0"/>
          <w:spacing w:val="-4"/>
          <w:sz w:val="32"/>
          <w:szCs w:val="32"/>
          <w:lang w:val="en-US" w:eastAsia="zh-CN"/>
        </w:rPr>
        <w:t>健全政府信息发布、保密审查、监督保障、责任追究等工作制度。健全互联网网站信息发布审核机制，代拟并提交区委办出台《海曙区互联网网站信息发布管理办法》</w:t>
      </w:r>
      <w:r>
        <w:rPr>
          <w:rFonts w:hint="eastAsia" w:ascii="仿宋_GB2312" w:eastAsia="仿宋_GB2312"/>
          <w:spacing w:val="-4"/>
          <w:sz w:val="32"/>
          <w:lang w:eastAsia="zh-CN"/>
        </w:rPr>
        <w:t>（海党办</w:t>
      </w:r>
      <w:r>
        <w:rPr>
          <w:rFonts w:hint="eastAsia" w:ascii="仿宋" w:hAnsi="仿宋" w:eastAsia="仿宋"/>
          <w:snapToGrid w:val="0"/>
          <w:spacing w:val="-4"/>
          <w:sz w:val="32"/>
          <w:szCs w:val="32"/>
        </w:rPr>
        <w:t>〔2017〕</w:t>
      </w:r>
      <w:r>
        <w:rPr>
          <w:rFonts w:hint="eastAsia" w:ascii="仿宋" w:hAnsi="仿宋" w:eastAsia="仿宋"/>
          <w:snapToGrid w:val="0"/>
          <w:spacing w:val="-4"/>
          <w:sz w:val="32"/>
          <w:szCs w:val="32"/>
          <w:lang w:val="en-US" w:eastAsia="zh-CN"/>
        </w:rPr>
        <w:t>113</w:t>
      </w:r>
      <w:r>
        <w:rPr>
          <w:rFonts w:hint="eastAsia" w:ascii="仿宋" w:hAnsi="仿宋" w:eastAsia="仿宋"/>
          <w:snapToGrid w:val="0"/>
          <w:spacing w:val="-4"/>
          <w:sz w:val="32"/>
          <w:szCs w:val="32"/>
        </w:rPr>
        <w:t>号</w:t>
      </w:r>
      <w:r>
        <w:rPr>
          <w:rFonts w:hint="eastAsia" w:ascii="仿宋" w:hAnsi="仿宋" w:eastAsia="仿宋"/>
          <w:snapToGrid w:val="0"/>
          <w:spacing w:val="-4"/>
          <w:sz w:val="32"/>
          <w:szCs w:val="32"/>
          <w:lang w:eastAsia="zh-CN"/>
        </w:rPr>
        <w:t>）</w:t>
      </w:r>
      <w:r>
        <w:rPr>
          <w:rFonts w:hint="eastAsia" w:ascii="仿宋_GB2312" w:hAnsi="仿宋_GB2312" w:eastAsia="仿宋_GB2312" w:cs="仿宋_GB2312"/>
          <w:snapToGrid w:val="0"/>
          <w:spacing w:val="-4"/>
          <w:sz w:val="32"/>
          <w:szCs w:val="32"/>
          <w:lang w:val="en-US" w:eastAsia="zh-CN"/>
        </w:rPr>
        <w:t>，进一步完善落实信息发布登记、审批责任制。</w:t>
      </w:r>
    </w:p>
    <w:p>
      <w:pPr>
        <w:keepNext w:val="0"/>
        <w:keepLines w:val="0"/>
        <w:pageBreakBefore w:val="0"/>
        <w:widowControl w:val="0"/>
        <w:kinsoku/>
        <w:wordWrap/>
        <w:overflowPunct/>
        <w:topLinePunct w:val="0"/>
        <w:autoSpaceDE/>
        <w:autoSpaceDN/>
        <w:bidi w:val="0"/>
        <w:adjustRightInd/>
        <w:spacing w:line="580" w:lineRule="exact"/>
        <w:ind w:right="0" w:rightChars="0" w:firstLine="320" w:firstLineChars="100"/>
        <w:textAlignment w:val="auto"/>
        <w:outlineLvl w:val="9"/>
        <w:rPr>
          <w:rFonts w:hint="eastAsia" w:ascii="仿宋_GB2312" w:hAnsi="仿宋_GB2312" w:eastAsia="仿宋_GB2312" w:cs="仿宋_GB2312"/>
          <w:snapToGrid w:val="0"/>
          <w:spacing w:val="-4"/>
          <w:sz w:val="32"/>
          <w:szCs w:val="32"/>
          <w:lang w:val="en-US" w:eastAsia="zh-CN"/>
        </w:rPr>
      </w:pPr>
      <w:r>
        <w:rPr>
          <w:rFonts w:hint="eastAsia" w:ascii="仿宋_GB2312" w:eastAsia="仿宋_GB2312"/>
          <w:sz w:val="32"/>
          <w:szCs w:val="32"/>
          <w:lang w:val="en-US" w:eastAsia="zh-CN"/>
        </w:rPr>
        <w:t xml:space="preserve"> </w:t>
      </w:r>
      <w:r>
        <w:rPr>
          <w:rFonts w:hint="eastAsia" w:ascii="楷体_GB2312" w:hAnsi="楷体_GB2312" w:eastAsia="楷体_GB2312" w:cs="楷体_GB2312"/>
          <w:snapToGrid w:val="0"/>
          <w:spacing w:val="-4"/>
          <w:kern w:val="32"/>
          <w:sz w:val="32"/>
          <w:szCs w:val="32"/>
          <w:lang w:val="en-US" w:eastAsia="zh-CN"/>
        </w:rPr>
        <w:t>（四）规范依申请公开办理。</w:t>
      </w:r>
      <w:r>
        <w:rPr>
          <w:rFonts w:hint="eastAsia" w:ascii="仿宋_GB2312" w:hAnsi="仿宋_GB2312" w:eastAsia="仿宋_GB2312" w:cs="仿宋_GB2312"/>
          <w:snapToGrid w:val="0"/>
          <w:spacing w:val="-4"/>
          <w:sz w:val="32"/>
          <w:szCs w:val="32"/>
          <w:lang w:val="en-US" w:eastAsia="zh-CN"/>
        </w:rPr>
        <w:t>建立依申请公开与信访衔接机制，对于有依申请公开需求的上访户，直接派人到信访窗口接收申请材料。建立依申请公开办理研究会商机制，针对依申请公开工作中重点、难点问题，积极与市法制办、海曙区法院进行研究会商，学习典型案例。</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textAlignment w:val="auto"/>
        <w:outlineLvl w:val="9"/>
        <w:rPr>
          <w:rFonts w:ascii="黑体" w:hAnsi="宋体" w:eastAsia="黑体" w:cs="宋体"/>
          <w:kern w:val="0"/>
          <w:sz w:val="32"/>
          <w:szCs w:val="32"/>
        </w:rPr>
      </w:pPr>
      <w:r>
        <w:rPr>
          <w:rFonts w:hint="eastAsia" w:ascii="黑体" w:hAnsi="宋体" w:eastAsia="黑体" w:cs="宋体"/>
          <w:kern w:val="0"/>
          <w:sz w:val="32"/>
          <w:szCs w:val="32"/>
        </w:rPr>
        <w:t>二、主动公开政府信息情况</w:t>
      </w:r>
    </w:p>
    <w:p>
      <w:pPr>
        <w:pStyle w:val="4"/>
        <w:keepNext w:val="0"/>
        <w:keepLines w:val="0"/>
        <w:pageBreakBefore w:val="0"/>
        <w:kinsoku/>
        <w:wordWrap/>
        <w:overflowPunct/>
        <w:topLinePunct w:val="0"/>
        <w:autoSpaceDE/>
        <w:autoSpaceDN/>
        <w:bidi w:val="0"/>
        <w:adjustRightInd/>
        <w:spacing w:before="0" w:beforeLines="0" w:beforeAutospacing="0" w:after="0" w:afterLines="0" w:afterAutospacing="0" w:line="60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（一）公开的</w:t>
      </w:r>
      <w:r>
        <w:rPr>
          <w:rFonts w:hint="eastAsia" w:ascii="楷体_GB2312" w:eastAsia="楷体_GB2312"/>
          <w:sz w:val="32"/>
          <w:szCs w:val="32"/>
          <w:lang w:eastAsia="zh-CN"/>
        </w:rPr>
        <w:t>分类及</w:t>
      </w:r>
      <w:r>
        <w:rPr>
          <w:rFonts w:hint="eastAsia" w:ascii="楷体_GB2312" w:eastAsia="楷体_GB2312"/>
          <w:sz w:val="32"/>
          <w:szCs w:val="32"/>
        </w:rPr>
        <w:t>主要内容</w:t>
      </w:r>
    </w:p>
    <w:p>
      <w:pPr>
        <w:pStyle w:val="4"/>
        <w:keepNext w:val="0"/>
        <w:keepLines w:val="0"/>
        <w:pageBreakBefore w:val="0"/>
        <w:kinsoku/>
        <w:wordWrap/>
        <w:overflowPunct/>
        <w:topLinePunct w:val="0"/>
        <w:autoSpaceDE/>
        <w:autoSpaceDN/>
        <w:bidi w:val="0"/>
        <w:adjustRightIn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SA"/>
        </w:rPr>
        <w:t>2017年，本办共公开政府信息94条,同比增长32.4%。</w:t>
      </w:r>
      <w:r>
        <w:rPr>
          <w:rFonts w:hint="default" w:ascii="仿宋_GB2312" w:hAnsi="Times New Roman" w:eastAsia="仿宋_GB2312" w:cs="Times New Roman"/>
          <w:kern w:val="2"/>
          <w:sz w:val="32"/>
          <w:szCs w:val="32"/>
          <w:lang w:val="en-US" w:eastAsia="zh-CN" w:bidi="ar-SA"/>
        </w:rPr>
        <w:t>其中，</w:t>
      </w:r>
      <w:r>
        <w:rPr>
          <w:rFonts w:hint="eastAsia" w:ascii="仿宋_GB2312" w:hAnsi="Times New Roman" w:eastAsia="仿宋_GB2312" w:cs="Times New Roman"/>
          <w:kern w:val="2"/>
          <w:sz w:val="32"/>
          <w:szCs w:val="32"/>
          <w:lang w:val="en-US" w:eastAsia="zh-CN" w:bidi="ar-SA"/>
        </w:rPr>
        <w:t>文件政策类信息32条，占34.0%；规划计划类信息8条，占8.51%；业务类信息10条，占10.6%；便民服务类信息17条，占18.1%；人事任免类12条，占12.8%；其它类信息5条，占5.32%。在主动公开的信息中，公开了区政府以及区政府办公室制发的所有规范性文件；公开了《关于印发海曙区“十三五”智慧城区发展（2016-2020）（修订）的通知》《关于进一步促进旅游业发展的若干意见》等重大决策信息；公开了2017年海曙区政务公开工作要点、海曙区政府办公室2016年部门决算和2017年部门预算、区党政领导接待日公告、区政府办公室人事任免、区政府主要工作安排等信息。</w:t>
      </w:r>
    </w:p>
    <w:p>
      <w:pPr>
        <w:keepNext w:val="0"/>
        <w:keepLines w:val="0"/>
        <w:pageBreakBefore w:val="0"/>
        <w:numPr>
          <w:ilvl w:val="0"/>
          <w:numId w:val="1"/>
        </w:numPr>
        <w:kinsoku/>
        <w:wordWrap/>
        <w:overflowPunct/>
        <w:topLinePunct w:val="0"/>
        <w:autoSpaceDE/>
        <w:autoSpaceDN/>
        <w:bidi w:val="0"/>
        <w:adjustRightInd/>
        <w:spacing w:before="0" w:beforeLines="0" w:after="0" w:afterLines="0" w:line="600" w:lineRule="exact"/>
        <w:ind w:left="0" w:leftChars="0" w:right="0" w:rightChars="0" w:firstLine="640" w:firstLineChars="200"/>
        <w:textAlignment w:val="auto"/>
        <w:outlineLvl w:val="9"/>
        <w:rPr>
          <w:rFonts w:hint="eastAsia" w:ascii="楷体_GB2312" w:eastAsia="楷体_GB2312"/>
          <w:sz w:val="32"/>
          <w:szCs w:val="32"/>
        </w:rPr>
      </w:pPr>
      <w:r>
        <w:rPr>
          <w:rFonts w:hint="eastAsia" w:ascii="楷体_GB2312" w:eastAsia="楷体_GB2312"/>
          <w:sz w:val="32"/>
          <w:szCs w:val="32"/>
        </w:rPr>
        <w:t>公开形式</w:t>
      </w:r>
    </w:p>
    <w:p>
      <w:pPr>
        <w:spacing w:line="560" w:lineRule="atLeast"/>
        <w:ind w:firstLine="624" w:firstLineChars="200"/>
        <w:rPr>
          <w:rFonts w:hint="eastAsia" w:ascii="仿宋_GB2312" w:hAnsi="仿宋_GB2312" w:eastAsia="仿宋_GB2312" w:cs="仿宋_GB2312"/>
          <w:sz w:val="32"/>
          <w:szCs w:val="32"/>
          <w:lang w:val="en-US" w:eastAsia="zh-CN"/>
        </w:rPr>
      </w:pPr>
      <w:r>
        <w:rPr>
          <w:rFonts w:hint="eastAsia" w:ascii="楷体_GB2312" w:eastAsia="楷体_GB2312"/>
          <w:snapToGrid w:val="0"/>
          <w:spacing w:val="-4"/>
          <w:sz w:val="32"/>
          <w:szCs w:val="32"/>
        </w:rPr>
        <w:t>1.</w:t>
      </w:r>
      <w:r>
        <w:rPr>
          <w:rFonts w:hint="eastAsia" w:ascii="楷体_GB2312" w:eastAsia="楷体_GB2312"/>
          <w:snapToGrid w:val="0"/>
          <w:spacing w:val="-4"/>
          <w:sz w:val="32"/>
          <w:szCs w:val="32"/>
          <w:lang w:eastAsia="zh-CN"/>
        </w:rPr>
        <w:t>搭建政民互动平台</w:t>
      </w:r>
      <w:r>
        <w:rPr>
          <w:rFonts w:hint="eastAsia" w:ascii="楷体_GB2312" w:eastAsia="楷体_GB2312"/>
          <w:snapToGrid w:val="0"/>
          <w:spacing w:val="-4"/>
          <w:sz w:val="32"/>
          <w:szCs w:val="32"/>
        </w:rPr>
        <w:t>。</w:t>
      </w:r>
      <w:r>
        <w:rPr>
          <w:rFonts w:hint="eastAsia" w:ascii="仿宋_GB2312" w:hAnsi="仿宋_GB2312" w:eastAsia="仿宋_GB2312" w:cs="仿宋_GB2312"/>
          <w:snapToGrid w:val="0"/>
          <w:color w:val="000000"/>
          <w:spacing w:val="-4"/>
          <w:sz w:val="32"/>
          <w:szCs w:val="32"/>
        </w:rPr>
        <w:t>在区政府门户网站</w:t>
      </w:r>
      <w:r>
        <w:rPr>
          <w:rFonts w:hint="eastAsia" w:ascii="仿宋_GB2312" w:hAnsi="仿宋_GB2312" w:eastAsia="仿宋_GB2312" w:cs="仿宋_GB2312"/>
          <w:snapToGrid w:val="0"/>
          <w:color w:val="000000"/>
          <w:spacing w:val="-4"/>
          <w:sz w:val="32"/>
          <w:szCs w:val="32"/>
          <w:lang w:eastAsia="zh-CN"/>
        </w:rPr>
        <w:t>“政民互动”栏目</w:t>
      </w:r>
      <w:r>
        <w:rPr>
          <w:rFonts w:hint="eastAsia" w:ascii="仿宋_GB2312" w:hAnsi="仿宋_GB2312" w:eastAsia="仿宋_GB2312" w:cs="仿宋_GB2312"/>
          <w:snapToGrid w:val="0"/>
          <w:color w:val="000000"/>
          <w:spacing w:val="-4"/>
          <w:sz w:val="32"/>
          <w:szCs w:val="32"/>
        </w:rPr>
        <w:t>设置“</w:t>
      </w:r>
      <w:r>
        <w:rPr>
          <w:rFonts w:hint="eastAsia" w:ascii="仿宋_GB2312" w:hAnsi="仿宋_GB2312" w:eastAsia="仿宋_GB2312" w:cs="仿宋_GB2312"/>
          <w:snapToGrid w:val="0"/>
          <w:color w:val="000000"/>
          <w:spacing w:val="-4"/>
          <w:sz w:val="32"/>
          <w:szCs w:val="32"/>
          <w:lang w:eastAsia="zh-CN"/>
        </w:rPr>
        <w:t>我要咨询</w:t>
      </w:r>
      <w:r>
        <w:rPr>
          <w:rFonts w:hint="eastAsia" w:ascii="仿宋_GB2312" w:hAnsi="仿宋_GB2312" w:eastAsia="仿宋_GB2312" w:cs="仿宋_GB2312"/>
          <w:snapToGrid w:val="0"/>
          <w:color w:val="000000"/>
          <w:spacing w:val="-4"/>
          <w:sz w:val="32"/>
          <w:szCs w:val="32"/>
        </w:rPr>
        <w:t>”“</w:t>
      </w:r>
      <w:r>
        <w:rPr>
          <w:rFonts w:hint="eastAsia" w:ascii="仿宋_GB2312" w:hAnsi="仿宋_GB2312" w:eastAsia="仿宋_GB2312" w:cs="仿宋_GB2312"/>
          <w:snapToGrid w:val="0"/>
          <w:color w:val="000000"/>
          <w:spacing w:val="-4"/>
          <w:sz w:val="32"/>
          <w:szCs w:val="32"/>
          <w:lang w:eastAsia="zh-CN"/>
        </w:rPr>
        <w:t>我要投诉</w:t>
      </w:r>
      <w:r>
        <w:rPr>
          <w:rFonts w:hint="eastAsia" w:ascii="仿宋_GB2312" w:hAnsi="仿宋_GB2312" w:eastAsia="仿宋_GB2312" w:cs="仿宋_GB2312"/>
          <w:snapToGrid w:val="0"/>
          <w:color w:val="000000"/>
          <w:spacing w:val="-4"/>
          <w:sz w:val="32"/>
          <w:szCs w:val="32"/>
        </w:rPr>
        <w:t>”“</w:t>
      </w:r>
      <w:r>
        <w:rPr>
          <w:rFonts w:hint="eastAsia" w:ascii="仿宋_GB2312" w:hAnsi="仿宋_GB2312" w:eastAsia="仿宋_GB2312" w:cs="仿宋_GB2312"/>
          <w:snapToGrid w:val="0"/>
          <w:color w:val="000000"/>
          <w:spacing w:val="-4"/>
          <w:sz w:val="32"/>
          <w:szCs w:val="32"/>
          <w:lang w:eastAsia="zh-CN"/>
        </w:rPr>
        <w:t>领导信箱</w:t>
      </w:r>
      <w:r>
        <w:rPr>
          <w:rFonts w:hint="eastAsia" w:ascii="仿宋_GB2312" w:hAnsi="仿宋_GB2312" w:eastAsia="仿宋_GB2312" w:cs="仿宋_GB2312"/>
          <w:snapToGrid w:val="0"/>
          <w:color w:val="000000"/>
          <w:spacing w:val="-4"/>
          <w:sz w:val="32"/>
          <w:szCs w:val="32"/>
        </w:rPr>
        <w:t>”“</w:t>
      </w:r>
      <w:r>
        <w:rPr>
          <w:rFonts w:hint="eastAsia" w:ascii="仿宋_GB2312" w:hAnsi="仿宋_GB2312" w:eastAsia="仿宋_GB2312" w:cs="仿宋_GB2312"/>
          <w:snapToGrid w:val="0"/>
          <w:color w:val="000000"/>
          <w:spacing w:val="-4"/>
          <w:sz w:val="32"/>
          <w:szCs w:val="32"/>
          <w:lang w:eastAsia="zh-CN"/>
        </w:rPr>
        <w:t>我要举报</w:t>
      </w:r>
      <w:r>
        <w:rPr>
          <w:rFonts w:hint="eastAsia" w:ascii="仿宋_GB2312" w:hAnsi="仿宋_GB2312" w:eastAsia="仿宋_GB2312" w:cs="仿宋_GB2312"/>
          <w:snapToGrid w:val="0"/>
          <w:color w:val="000000"/>
          <w:spacing w:val="-4"/>
          <w:sz w:val="32"/>
          <w:szCs w:val="32"/>
        </w:rPr>
        <w:t>”“</w:t>
      </w:r>
      <w:r>
        <w:rPr>
          <w:rFonts w:hint="eastAsia" w:ascii="仿宋_GB2312" w:hAnsi="仿宋_GB2312" w:eastAsia="仿宋_GB2312" w:cs="仿宋_GB2312"/>
          <w:snapToGrid w:val="0"/>
          <w:color w:val="000000"/>
          <w:spacing w:val="-4"/>
          <w:sz w:val="32"/>
          <w:szCs w:val="32"/>
          <w:lang w:eastAsia="zh-CN"/>
        </w:rPr>
        <w:t>我要评价</w:t>
      </w:r>
      <w:r>
        <w:rPr>
          <w:rFonts w:hint="eastAsia" w:ascii="仿宋_GB2312" w:hAnsi="仿宋_GB2312" w:eastAsia="仿宋_GB2312" w:cs="仿宋_GB2312"/>
          <w:snapToGrid w:val="0"/>
          <w:color w:val="000000"/>
          <w:spacing w:val="-4"/>
          <w:sz w:val="32"/>
          <w:szCs w:val="32"/>
        </w:rPr>
        <w:t>”</w:t>
      </w:r>
      <w:r>
        <w:rPr>
          <w:rFonts w:hint="eastAsia" w:ascii="仿宋_GB2312" w:hAnsi="仿宋_GB2312" w:eastAsia="仿宋_GB2312" w:cs="仿宋_GB2312"/>
          <w:snapToGrid w:val="0"/>
          <w:color w:val="000000"/>
          <w:spacing w:val="-4"/>
          <w:sz w:val="32"/>
          <w:szCs w:val="32"/>
          <w:lang w:eastAsia="zh-CN"/>
        </w:rPr>
        <w:t>“我要建议”</w:t>
      </w:r>
      <w:r>
        <w:rPr>
          <w:rFonts w:hint="eastAsia" w:ascii="仿宋_GB2312" w:hAnsi="仿宋_GB2312" w:eastAsia="仿宋_GB2312" w:cs="仿宋_GB2312"/>
          <w:snapToGrid w:val="0"/>
          <w:color w:val="000000"/>
          <w:spacing w:val="-4"/>
          <w:sz w:val="32"/>
          <w:szCs w:val="32"/>
        </w:rPr>
        <w:t>等互动性栏目，适应公众获取信息的多样化需求，同时</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“政务微博”“在线访谈”“在线调查”“意见征集”</w:t>
      </w:r>
      <w:r>
        <w:rPr>
          <w:rFonts w:hint="eastAsia" w:ascii="仿宋_GB2312" w:hAnsi="仿宋_GB2312" w:eastAsia="仿宋_GB2312" w:cs="仿宋_GB2312"/>
          <w:sz w:val="32"/>
          <w:szCs w:val="32"/>
        </w:rPr>
        <w:t>等各类专栏</w:t>
      </w:r>
      <w:r>
        <w:rPr>
          <w:rFonts w:hint="eastAsia" w:ascii="仿宋_GB2312" w:hAnsi="仿宋_GB2312" w:eastAsia="仿宋_GB2312" w:cs="仿宋_GB2312"/>
          <w:sz w:val="32"/>
          <w:szCs w:val="32"/>
          <w:lang w:eastAsia="zh-CN"/>
        </w:rPr>
        <w:t>置于网站醒目位置</w:t>
      </w:r>
      <w:r>
        <w:rPr>
          <w:rFonts w:hint="eastAsia" w:ascii="仿宋_GB2312" w:hAnsi="仿宋_GB2312" w:eastAsia="仿宋_GB2312" w:cs="仿宋_GB2312"/>
          <w:sz w:val="32"/>
          <w:szCs w:val="32"/>
        </w:rPr>
        <w:t>，提升政务公开服务质量</w:t>
      </w:r>
      <w:r>
        <w:rPr>
          <w:rFonts w:hint="eastAsia" w:ascii="仿宋_GB2312" w:hAnsi="仿宋_GB2312" w:eastAsia="仿宋_GB2312" w:cs="仿宋_GB2312"/>
          <w:snapToGrid w:val="0"/>
          <w:color w:val="000000"/>
          <w:spacing w:val="-4"/>
          <w:sz w:val="32"/>
          <w:szCs w:val="32"/>
        </w:rPr>
        <w:t>。</w:t>
      </w:r>
    </w:p>
    <w:p>
      <w:pPr>
        <w:keepNext w:val="0"/>
        <w:keepLines w:val="0"/>
        <w:pageBreakBefore w:val="0"/>
        <w:kinsoku/>
        <w:wordWrap/>
        <w:overflowPunct/>
        <w:topLinePunct w:val="0"/>
        <w:autoSpaceDE/>
        <w:autoSpaceDN/>
        <w:bidi w:val="0"/>
        <w:adjustRightInd/>
        <w:spacing w:before="0" w:beforeLines="0" w:after="0" w:afterLines="0"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eastAsia="楷体_GB2312"/>
          <w:snapToGrid w:val="0"/>
          <w:spacing w:val="-4"/>
          <w:sz w:val="32"/>
          <w:szCs w:val="32"/>
          <w:lang w:val="en-US" w:eastAsia="zh-CN"/>
        </w:rPr>
        <w:t xml:space="preserve">    2.依托政府信息公开网。</w:t>
      </w:r>
      <w:r>
        <w:rPr>
          <w:rFonts w:hint="eastAsia" w:ascii="仿宋_GB2312" w:hAnsi="仿宋_GB2312" w:eastAsia="仿宋_GB2312" w:cs="仿宋_GB2312"/>
          <w:kern w:val="2"/>
          <w:sz w:val="32"/>
          <w:szCs w:val="32"/>
          <w:lang w:val="en-US" w:eastAsia="zh-CN" w:bidi="ar-SA"/>
        </w:rPr>
        <w:t>在政府信息公开网站设政府信息公开指南、信息公开目录、机构职能、法规文件、规划计划、工作信息、人事信息、财政信息、社会监督等子栏目，公民通过区政府信息公开网站可以查阅主动公开的政府信息。同时</w:t>
      </w:r>
      <w:r>
        <w:rPr>
          <w:rFonts w:hint="eastAsia" w:ascii="仿宋_GB2312" w:hAnsi="仿宋_GB2312" w:eastAsia="仿宋_GB2312" w:cs="仿宋_GB2312"/>
          <w:sz w:val="32"/>
          <w:szCs w:val="32"/>
        </w:rPr>
        <w:t>将重点公开</w:t>
      </w:r>
      <w:r>
        <w:rPr>
          <w:rFonts w:hint="eastAsia" w:ascii="仿宋_GB2312" w:hAnsi="仿宋_GB2312" w:eastAsia="仿宋_GB2312" w:cs="仿宋_GB2312"/>
          <w:sz w:val="32"/>
          <w:szCs w:val="32"/>
          <w:lang w:eastAsia="zh-CN"/>
        </w:rPr>
        <w:t>领域栏目</w:t>
      </w:r>
      <w:r>
        <w:rPr>
          <w:rFonts w:hint="eastAsia" w:ascii="仿宋_GB2312" w:hAnsi="仿宋_GB2312" w:eastAsia="仿宋_GB2312" w:cs="仿宋_GB2312"/>
          <w:sz w:val="32"/>
          <w:szCs w:val="32"/>
        </w:rPr>
        <w:t>置于平台页面醒目位置</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before="0" w:beforeLines="0" w:after="0" w:afterLines="0" w:line="600" w:lineRule="exact"/>
        <w:ind w:left="0" w:leftChars="0" w:right="0" w:rightChars="0" w:firstLine="624" w:firstLineChars="200"/>
        <w:textAlignment w:val="auto"/>
        <w:outlineLvl w:val="9"/>
        <w:rPr>
          <w:rFonts w:hint="eastAsia" w:ascii="仿宋_GB2312" w:eastAsia="仿宋_GB2312"/>
          <w:sz w:val="32"/>
          <w:szCs w:val="32"/>
        </w:rPr>
      </w:pPr>
      <w:r>
        <w:rPr>
          <w:rFonts w:hint="eastAsia" w:ascii="楷体_GB2312" w:eastAsia="楷体_GB2312"/>
          <w:snapToGrid w:val="0"/>
          <w:spacing w:val="-4"/>
          <w:sz w:val="32"/>
          <w:szCs w:val="32"/>
          <w:lang w:val="en-US" w:eastAsia="zh-CN"/>
        </w:rPr>
        <w:t>3.设立公共查阅场所。</w:t>
      </w:r>
      <w:r>
        <w:rPr>
          <w:rFonts w:hint="eastAsia" w:ascii="仿宋_GB2312" w:hAnsi="Times New Roman" w:eastAsia="仿宋_GB2312" w:cs="Times New Roman"/>
          <w:kern w:val="2"/>
          <w:sz w:val="32"/>
          <w:szCs w:val="32"/>
          <w:lang w:val="en-US" w:eastAsia="zh-CN" w:bidi="ar-SA"/>
        </w:rPr>
        <w:t>结合本办实际，设立了政府信息查阅场所并配备相关设施，为公众查阅政府信息提供便利</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27" w:firstLineChars="196"/>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三、依申请公开政府信息情况</w:t>
      </w:r>
    </w:p>
    <w:p>
      <w:pPr>
        <w:pStyle w:val="4"/>
        <w:keepNext w:val="0"/>
        <w:keepLines w:val="0"/>
        <w:pageBreakBefore w:val="0"/>
        <w:kinsoku/>
        <w:wordWrap/>
        <w:overflowPunct/>
        <w:topLinePunct w:val="0"/>
        <w:autoSpaceDE/>
        <w:autoSpaceDN/>
        <w:bidi w:val="0"/>
        <w:adjustRightIn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2017年，</w:t>
      </w:r>
      <w:r>
        <w:rPr>
          <w:rFonts w:hint="eastAsia" w:ascii="仿宋_GB2312" w:hAnsi="仿宋_GB2312" w:eastAsia="仿宋_GB2312" w:cs="仿宋_GB2312"/>
          <w:snapToGrid w:val="0"/>
          <w:spacing w:val="-4"/>
          <w:sz w:val="32"/>
          <w:szCs w:val="32"/>
        </w:rPr>
        <w:t>按照“答复及时，内容完整，格式规范”的要求，依法依规、及时妥善处理政府信息公开申请。2017年，</w:t>
      </w:r>
      <w:r>
        <w:rPr>
          <w:rFonts w:hint="eastAsia" w:ascii="仿宋_GB2312" w:hAnsi="仿宋_GB2312" w:eastAsia="仿宋_GB2312" w:cs="仿宋_GB2312"/>
          <w:snapToGrid w:val="0"/>
          <w:spacing w:val="-4"/>
          <w:sz w:val="32"/>
        </w:rPr>
        <w:t>区政府</w:t>
      </w:r>
      <w:r>
        <w:rPr>
          <w:rFonts w:hint="eastAsia" w:ascii="仿宋_GB2312" w:hAnsi="仿宋_GB2312" w:eastAsia="仿宋_GB2312" w:cs="仿宋_GB2312"/>
          <w:snapToGrid w:val="0"/>
          <w:spacing w:val="-4"/>
          <w:sz w:val="32"/>
          <w:lang w:eastAsia="zh-CN"/>
        </w:rPr>
        <w:t>办公室</w:t>
      </w:r>
      <w:r>
        <w:rPr>
          <w:rFonts w:hint="eastAsia" w:ascii="仿宋_GB2312" w:hAnsi="仿宋_GB2312" w:eastAsia="仿宋_GB2312" w:cs="仿宋_GB2312"/>
          <w:snapToGrid w:val="0"/>
          <w:color w:val="000000"/>
          <w:spacing w:val="-4"/>
          <w:sz w:val="32"/>
          <w:szCs w:val="32"/>
        </w:rPr>
        <w:t>依申请公开</w:t>
      </w:r>
      <w:r>
        <w:rPr>
          <w:rFonts w:hint="eastAsia" w:ascii="仿宋_GB2312" w:hAnsi="仿宋_GB2312" w:eastAsia="仿宋_GB2312" w:cs="仿宋_GB2312"/>
          <w:snapToGrid w:val="0"/>
          <w:spacing w:val="-4"/>
          <w:sz w:val="32"/>
        </w:rPr>
        <w:t>受理</w:t>
      </w:r>
      <w:r>
        <w:rPr>
          <w:rFonts w:hint="eastAsia" w:ascii="仿宋_GB2312" w:hAnsi="仿宋_GB2312" w:eastAsia="仿宋_GB2312" w:cs="仿宋_GB2312"/>
          <w:snapToGrid w:val="0"/>
          <w:spacing w:val="-4"/>
          <w:sz w:val="32"/>
          <w:lang w:val="en-US" w:eastAsia="zh-CN"/>
        </w:rPr>
        <w:t>39</w:t>
      </w:r>
      <w:r>
        <w:rPr>
          <w:rFonts w:hint="eastAsia" w:ascii="仿宋_GB2312" w:hAnsi="仿宋_GB2312" w:eastAsia="仿宋_GB2312" w:cs="仿宋_GB2312"/>
          <w:snapToGrid w:val="0"/>
          <w:spacing w:val="-4"/>
          <w:sz w:val="32"/>
        </w:rPr>
        <w:t>件，内容主要涉及征地拆迁、</w:t>
      </w:r>
      <w:r>
        <w:rPr>
          <w:rFonts w:hint="eastAsia" w:ascii="仿宋_GB2312" w:hAnsi="仿宋_GB2312" w:eastAsia="仿宋_GB2312" w:cs="仿宋_GB2312"/>
          <w:snapToGrid w:val="0"/>
          <w:spacing w:val="-4"/>
          <w:sz w:val="32"/>
          <w:lang w:eastAsia="zh-CN"/>
        </w:rPr>
        <w:t>城建</w:t>
      </w:r>
      <w:r>
        <w:rPr>
          <w:rFonts w:hint="eastAsia" w:ascii="仿宋_GB2312" w:hAnsi="仿宋_GB2312" w:eastAsia="仿宋_GB2312" w:cs="仿宋_GB2312"/>
          <w:snapToGrid w:val="0"/>
          <w:spacing w:val="-4"/>
          <w:sz w:val="32"/>
        </w:rPr>
        <w:t>规划、政务咨询</w:t>
      </w:r>
      <w:r>
        <w:rPr>
          <w:rFonts w:hint="eastAsia" w:ascii="仿宋_GB2312" w:hAnsi="仿宋_GB2312" w:eastAsia="仿宋_GB2312" w:cs="仿宋_GB2312"/>
          <w:snapToGrid w:val="0"/>
          <w:spacing w:val="-4"/>
          <w:sz w:val="32"/>
          <w:lang w:eastAsia="zh-CN"/>
        </w:rPr>
        <w:t>、村务咨询</w:t>
      </w:r>
      <w:r>
        <w:rPr>
          <w:rFonts w:hint="eastAsia" w:ascii="仿宋_GB2312" w:hAnsi="仿宋_GB2312" w:eastAsia="仿宋_GB2312" w:cs="仿宋_GB2312"/>
          <w:snapToGrid w:val="0"/>
          <w:spacing w:val="-4"/>
          <w:sz w:val="32"/>
        </w:rPr>
        <w:t>等方面。上述申请中，</w:t>
      </w:r>
      <w:r>
        <w:rPr>
          <w:rFonts w:hint="eastAsia" w:ascii="仿宋_GB2312" w:hAnsi="仿宋_GB2312" w:eastAsia="仿宋_GB2312" w:cs="仿宋_GB2312"/>
          <w:snapToGrid w:val="0"/>
          <w:spacing w:val="-4"/>
          <w:sz w:val="32"/>
          <w:lang w:eastAsia="zh-CN"/>
        </w:rPr>
        <w:t>从</w:t>
      </w:r>
      <w:r>
        <w:rPr>
          <w:rFonts w:hint="eastAsia" w:ascii="仿宋_GB2312" w:hAnsi="仿宋_GB2312" w:eastAsia="仿宋_GB2312" w:cs="仿宋_GB2312"/>
          <w:snapToGrid w:val="0"/>
          <w:spacing w:val="-4"/>
          <w:sz w:val="32"/>
        </w:rPr>
        <w:t>申请方式看，信函申请19件，在线申请18件</w:t>
      </w:r>
      <w:r>
        <w:rPr>
          <w:rFonts w:hint="eastAsia" w:ascii="仿宋_GB2312" w:hAnsi="仿宋_GB2312" w:eastAsia="仿宋_GB2312" w:cs="仿宋_GB2312"/>
          <w:snapToGrid w:val="0"/>
          <w:spacing w:val="-4"/>
          <w:sz w:val="32"/>
          <w:lang w:eastAsia="zh-CN"/>
        </w:rPr>
        <w:t>，当面申请</w:t>
      </w:r>
      <w:r>
        <w:rPr>
          <w:rFonts w:hint="eastAsia" w:ascii="仿宋_GB2312" w:hAnsi="仿宋_GB2312" w:eastAsia="仿宋_GB2312" w:cs="仿宋_GB2312"/>
          <w:snapToGrid w:val="0"/>
          <w:spacing w:val="-4"/>
          <w:sz w:val="32"/>
          <w:lang w:val="en-US" w:eastAsia="zh-CN"/>
        </w:rPr>
        <w:t>2件。</w:t>
      </w:r>
      <w:r>
        <w:rPr>
          <w:rFonts w:hint="eastAsia" w:ascii="仿宋_GB2312" w:hAnsi="仿宋_GB2312" w:eastAsia="仿宋_GB2312" w:cs="仿宋_GB2312"/>
          <w:snapToGrid w:val="0"/>
          <w:spacing w:val="-4"/>
          <w:sz w:val="32"/>
        </w:rPr>
        <w:t>从答复情况看，“同意公开”</w:t>
      </w:r>
      <w:r>
        <w:rPr>
          <w:rFonts w:hint="eastAsia" w:ascii="仿宋_GB2312" w:hAnsi="仿宋_GB2312" w:eastAsia="仿宋_GB2312" w:cs="仿宋_GB2312"/>
          <w:snapToGrid w:val="0"/>
          <w:spacing w:val="-4"/>
          <w:sz w:val="32"/>
          <w:lang w:val="en-US" w:eastAsia="zh-CN"/>
        </w:rPr>
        <w:t>4</w:t>
      </w:r>
      <w:r>
        <w:rPr>
          <w:rFonts w:hint="eastAsia" w:ascii="仿宋_GB2312" w:hAnsi="仿宋_GB2312" w:eastAsia="仿宋_GB2312" w:cs="仿宋_GB2312"/>
          <w:snapToGrid w:val="0"/>
          <w:spacing w:val="-4"/>
          <w:sz w:val="32"/>
        </w:rPr>
        <w:t>件，“已主动公开”</w:t>
      </w:r>
      <w:r>
        <w:rPr>
          <w:rFonts w:hint="eastAsia" w:ascii="仿宋_GB2312" w:hAnsi="仿宋_GB2312" w:eastAsia="仿宋_GB2312" w:cs="仿宋_GB2312"/>
          <w:snapToGrid w:val="0"/>
          <w:spacing w:val="-4"/>
          <w:sz w:val="32"/>
          <w:lang w:val="en-US" w:eastAsia="zh-CN"/>
        </w:rPr>
        <w:t>1</w:t>
      </w:r>
      <w:r>
        <w:rPr>
          <w:rFonts w:hint="eastAsia" w:ascii="仿宋_GB2312" w:hAnsi="仿宋_GB2312" w:eastAsia="仿宋_GB2312" w:cs="仿宋_GB2312"/>
          <w:snapToGrid w:val="0"/>
          <w:spacing w:val="-4"/>
          <w:sz w:val="32"/>
        </w:rPr>
        <w:t>件，“不属于本机关公开职责”</w:t>
      </w:r>
      <w:r>
        <w:rPr>
          <w:rFonts w:hint="eastAsia" w:ascii="仿宋_GB2312" w:hAnsi="仿宋_GB2312" w:eastAsia="仿宋_GB2312" w:cs="仿宋_GB2312"/>
          <w:snapToGrid w:val="0"/>
          <w:spacing w:val="-4"/>
          <w:sz w:val="32"/>
          <w:lang w:val="en-US" w:eastAsia="zh-CN"/>
        </w:rPr>
        <w:t>10</w:t>
      </w:r>
      <w:r>
        <w:rPr>
          <w:rFonts w:hint="eastAsia" w:ascii="仿宋_GB2312" w:hAnsi="仿宋_GB2312" w:eastAsia="仿宋_GB2312" w:cs="仿宋_GB2312"/>
          <w:snapToGrid w:val="0"/>
          <w:spacing w:val="-4"/>
          <w:sz w:val="32"/>
        </w:rPr>
        <w:t>件，“申请信息不存在”</w:t>
      </w:r>
      <w:r>
        <w:rPr>
          <w:rFonts w:hint="eastAsia" w:ascii="仿宋_GB2312" w:hAnsi="仿宋_GB2312" w:eastAsia="仿宋_GB2312" w:cs="仿宋_GB2312"/>
          <w:snapToGrid w:val="0"/>
          <w:spacing w:val="-4"/>
          <w:sz w:val="32"/>
          <w:lang w:val="en-US" w:eastAsia="zh-CN"/>
        </w:rPr>
        <w:t>4</w:t>
      </w:r>
      <w:r>
        <w:rPr>
          <w:rFonts w:hint="eastAsia" w:ascii="仿宋_GB2312" w:hAnsi="仿宋_GB2312" w:eastAsia="仿宋_GB2312" w:cs="仿宋_GB2312"/>
          <w:snapToGrid w:val="0"/>
          <w:spacing w:val="-4"/>
          <w:sz w:val="32"/>
        </w:rPr>
        <w:t>件，“内容不明确需补正”4件，“不</w:t>
      </w:r>
      <w:r>
        <w:rPr>
          <w:rFonts w:hint="eastAsia" w:ascii="仿宋_GB2312" w:hAnsi="仿宋_GB2312" w:eastAsia="仿宋_GB2312" w:cs="仿宋_GB2312"/>
          <w:snapToGrid w:val="0"/>
          <w:spacing w:val="-4"/>
          <w:sz w:val="32"/>
          <w:lang w:eastAsia="zh-CN"/>
        </w:rPr>
        <w:t>同意公开</w:t>
      </w:r>
      <w:r>
        <w:rPr>
          <w:rFonts w:hint="eastAsia" w:ascii="仿宋_GB2312" w:hAnsi="仿宋_GB2312" w:eastAsia="仿宋_GB2312" w:cs="仿宋_GB2312"/>
          <w:snapToGrid w:val="0"/>
          <w:spacing w:val="-4"/>
          <w:sz w:val="32"/>
        </w:rPr>
        <w:t>”</w:t>
      </w:r>
      <w:r>
        <w:rPr>
          <w:rFonts w:hint="eastAsia" w:ascii="仿宋_GB2312" w:hAnsi="仿宋_GB2312" w:eastAsia="仿宋_GB2312" w:cs="仿宋_GB2312"/>
          <w:snapToGrid w:val="0"/>
          <w:spacing w:val="-4"/>
          <w:sz w:val="32"/>
          <w:lang w:val="en-US" w:eastAsia="zh-CN"/>
        </w:rPr>
        <w:t>16</w:t>
      </w:r>
      <w:r>
        <w:rPr>
          <w:rFonts w:hint="eastAsia" w:ascii="仿宋_GB2312" w:hAnsi="仿宋_GB2312" w:eastAsia="仿宋_GB2312" w:cs="仿宋_GB2312"/>
          <w:snapToGrid w:val="0"/>
          <w:spacing w:val="-4"/>
          <w:sz w:val="32"/>
        </w:rPr>
        <w:t>件</w:t>
      </w:r>
      <w:r>
        <w:rPr>
          <w:rFonts w:hint="eastAsia" w:ascii="仿宋_GB2312" w:hAnsi="仿宋_GB2312" w:eastAsia="仿宋_GB2312" w:cs="仿宋_GB2312"/>
          <w:snapToGrid w:val="0"/>
          <w:spacing w:val="-4"/>
          <w:sz w:val="32"/>
          <w:lang w:val="en-US" w:eastAsia="zh-CN"/>
        </w:rPr>
        <w:t>。</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27" w:firstLineChars="196"/>
        <w:textAlignment w:val="auto"/>
        <w:outlineLvl w:val="9"/>
        <w:rPr>
          <w:rFonts w:ascii="黑体" w:hAnsi="宋体" w:eastAsia="黑体" w:cs="宋体"/>
          <w:kern w:val="0"/>
          <w:sz w:val="32"/>
          <w:szCs w:val="32"/>
        </w:rPr>
      </w:pPr>
      <w:r>
        <w:rPr>
          <w:rFonts w:hint="eastAsia" w:ascii="黑体" w:hAnsi="宋体" w:eastAsia="黑体" w:cs="宋体"/>
          <w:kern w:val="0"/>
          <w:sz w:val="32"/>
          <w:szCs w:val="32"/>
        </w:rPr>
        <w:t>四、复议、诉讼和申诉情况</w:t>
      </w:r>
    </w:p>
    <w:p>
      <w:pPr>
        <w:pStyle w:val="4"/>
        <w:keepNext w:val="0"/>
        <w:keepLines w:val="0"/>
        <w:pageBreakBefore w:val="0"/>
        <w:kinsoku/>
        <w:wordWrap/>
        <w:overflowPunct/>
        <w:topLinePunct w:val="0"/>
        <w:autoSpaceDE/>
        <w:autoSpaceDN/>
        <w:bidi w:val="0"/>
        <w:adjustRightInd/>
        <w:spacing w:before="0" w:beforeLines="0" w:beforeAutospacing="0" w:after="0" w:afterLines="0" w:afterAutospacing="0"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2017年度，本办未发生因政府信息公开申请行政复议、提起行政诉讼的情况。</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27" w:firstLineChars="196"/>
        <w:textAlignment w:val="auto"/>
        <w:outlineLvl w:val="9"/>
        <w:rPr>
          <w:rFonts w:ascii="黑体" w:hAnsi="宋体" w:eastAsia="黑体" w:cs="宋体"/>
          <w:kern w:val="0"/>
          <w:sz w:val="32"/>
          <w:szCs w:val="32"/>
        </w:rPr>
      </w:pPr>
      <w:r>
        <w:rPr>
          <w:rFonts w:hint="eastAsia" w:ascii="黑体" w:hAnsi="宋体" w:eastAsia="黑体" w:cs="宋体"/>
          <w:kern w:val="0"/>
          <w:sz w:val="32"/>
          <w:szCs w:val="32"/>
        </w:rPr>
        <w:t>五、政府信息公开收费及减免情况</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27" w:firstLineChars="196"/>
        <w:textAlignment w:val="auto"/>
        <w:outlineLvl w:val="9"/>
        <w:rPr>
          <w:rFonts w:hint="eastAsia" w:ascii="仿宋_GB2312" w:hAnsi="华文仿宋" w:eastAsia="仿宋_GB2312"/>
          <w:sz w:val="32"/>
          <w:szCs w:val="32"/>
        </w:rPr>
      </w:pPr>
      <w:r>
        <w:rPr>
          <w:rFonts w:ascii="仿宋_GB2312" w:hAnsi="华文仿宋" w:eastAsia="仿宋_GB2312"/>
          <w:sz w:val="32"/>
          <w:szCs w:val="32"/>
        </w:rPr>
        <w:t>20</w:t>
      </w:r>
      <w:r>
        <w:rPr>
          <w:rFonts w:hint="eastAsia" w:ascii="仿宋_GB2312" w:hAnsi="华文仿宋" w:eastAsia="仿宋_GB2312"/>
          <w:sz w:val="32"/>
          <w:szCs w:val="32"/>
        </w:rPr>
        <w:t>1</w:t>
      </w:r>
      <w:r>
        <w:rPr>
          <w:rFonts w:hint="eastAsia" w:ascii="仿宋_GB2312" w:hAnsi="华文仿宋" w:eastAsia="仿宋_GB2312"/>
          <w:sz w:val="32"/>
          <w:szCs w:val="32"/>
          <w:lang w:val="en-US" w:eastAsia="zh-CN"/>
        </w:rPr>
        <w:t>7</w:t>
      </w:r>
      <w:r>
        <w:rPr>
          <w:rFonts w:hint="eastAsia" w:ascii="仿宋_GB2312" w:hAnsi="华文仿宋" w:eastAsia="仿宋_GB2312"/>
          <w:sz w:val="32"/>
          <w:szCs w:val="32"/>
        </w:rPr>
        <w:t>年度</w:t>
      </w:r>
      <w:r>
        <w:rPr>
          <w:rFonts w:ascii="仿宋_GB2312" w:hAnsi="华文仿宋" w:eastAsia="仿宋_GB2312"/>
          <w:sz w:val="32"/>
          <w:szCs w:val="32"/>
        </w:rPr>
        <w:t>，</w:t>
      </w:r>
      <w:r>
        <w:rPr>
          <w:rFonts w:hint="eastAsia" w:ascii="仿宋_GB2312" w:hAnsi="华文仿宋" w:eastAsia="仿宋_GB2312"/>
          <w:sz w:val="32"/>
          <w:szCs w:val="32"/>
          <w:lang w:eastAsia="zh-CN"/>
        </w:rPr>
        <w:t>本</w:t>
      </w:r>
      <w:r>
        <w:rPr>
          <w:rFonts w:hint="eastAsia" w:ascii="仿宋_GB2312" w:hAnsi="华文仿宋" w:eastAsia="仿宋_GB2312"/>
          <w:sz w:val="32"/>
          <w:szCs w:val="32"/>
        </w:rPr>
        <w:t>办</w:t>
      </w:r>
      <w:r>
        <w:rPr>
          <w:rFonts w:hint="eastAsia" w:ascii="仿宋_GB2312" w:hAnsi="华文仿宋" w:eastAsia="仿宋_GB2312"/>
          <w:sz w:val="32"/>
          <w:szCs w:val="32"/>
          <w:lang w:eastAsia="zh-CN"/>
        </w:rPr>
        <w:t>未发生</w:t>
      </w:r>
      <w:r>
        <w:rPr>
          <w:rFonts w:hint="eastAsia" w:ascii="仿宋_GB2312" w:hAnsi="华文仿宋" w:eastAsia="仿宋_GB2312"/>
          <w:sz w:val="32"/>
          <w:szCs w:val="32"/>
        </w:rPr>
        <w:t>因</w:t>
      </w:r>
      <w:r>
        <w:rPr>
          <w:rFonts w:ascii="仿宋_GB2312" w:hAnsi="华文仿宋" w:eastAsia="仿宋_GB2312"/>
          <w:sz w:val="32"/>
          <w:szCs w:val="32"/>
        </w:rPr>
        <w:t>政府信息公开申请发生收费情况。</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27" w:firstLineChars="196"/>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六、存在的主要问题和改进措施</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27" w:firstLineChars="196"/>
        <w:textAlignment w:val="auto"/>
        <w:outlineLvl w:val="9"/>
        <w:rPr>
          <w:rFonts w:hint="eastAsia" w:ascii="仿宋_GB2312" w:hAnsi="华文仿宋" w:eastAsia="仿宋_GB2312"/>
          <w:sz w:val="32"/>
          <w:szCs w:val="32"/>
        </w:rPr>
      </w:pPr>
      <w:r>
        <w:rPr>
          <w:rFonts w:hint="eastAsia" w:ascii="仿宋_GB2312" w:hAnsi="华文仿宋" w:eastAsia="仿宋_GB2312"/>
          <w:sz w:val="32"/>
          <w:szCs w:val="32"/>
        </w:rPr>
        <w:t>回顾</w:t>
      </w:r>
      <w:r>
        <w:rPr>
          <w:rFonts w:hint="eastAsia" w:ascii="仿宋_GB2312" w:hAnsi="华文仿宋" w:eastAsia="仿宋_GB2312"/>
          <w:sz w:val="32"/>
          <w:szCs w:val="32"/>
          <w:lang w:eastAsia="zh-CN"/>
        </w:rPr>
        <w:t>过去一年，本办</w:t>
      </w:r>
      <w:r>
        <w:rPr>
          <w:rFonts w:hint="eastAsia" w:ascii="仿宋_GB2312" w:hAnsi="华文仿宋" w:eastAsia="仿宋_GB2312"/>
          <w:sz w:val="32"/>
          <w:szCs w:val="32"/>
        </w:rPr>
        <w:t>政府信息公开工作虽然取得了一些成绩，但对照</w:t>
      </w:r>
      <w:r>
        <w:rPr>
          <w:rFonts w:hint="eastAsia" w:ascii="仿宋_GB2312" w:hAnsi="华文仿宋" w:eastAsia="仿宋_GB2312"/>
          <w:sz w:val="32"/>
          <w:szCs w:val="32"/>
          <w:lang w:eastAsia="zh-CN"/>
        </w:rPr>
        <w:t>“以公开为常态，以不公开为例外”</w:t>
      </w:r>
      <w:r>
        <w:rPr>
          <w:rFonts w:hint="eastAsia" w:ascii="仿宋_GB2312" w:hAnsi="华文仿宋" w:eastAsia="仿宋_GB2312"/>
          <w:sz w:val="32"/>
          <w:szCs w:val="32"/>
        </w:rPr>
        <w:t>的要求，仍存在</w:t>
      </w:r>
      <w:r>
        <w:rPr>
          <w:rFonts w:hint="eastAsia" w:ascii="仿宋_GB2312" w:hAnsi="华文仿宋" w:eastAsia="仿宋_GB2312"/>
          <w:sz w:val="32"/>
          <w:szCs w:val="32"/>
          <w:lang w:eastAsia="zh-CN"/>
        </w:rPr>
        <w:t>差距，主要表现为对政府信息公开工作指导、推进、监督不够有力，信息公开不平衡现象需着力解决</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2017年，本办</w:t>
      </w:r>
      <w:r>
        <w:rPr>
          <w:rFonts w:hint="eastAsia" w:ascii="仿宋_GB2312" w:hAnsi="华文仿宋" w:eastAsia="仿宋_GB2312"/>
          <w:sz w:val="32"/>
          <w:szCs w:val="32"/>
          <w:lang w:eastAsia="zh-CN"/>
        </w:rPr>
        <w:t>将围绕区委、区政府中心工作和社会关注关切，坚持问题导向，</w:t>
      </w:r>
      <w:r>
        <w:rPr>
          <w:rFonts w:hint="eastAsia" w:ascii="仿宋_GB2312" w:hAnsi="华文仿宋" w:eastAsia="仿宋_GB2312"/>
          <w:sz w:val="32"/>
          <w:szCs w:val="32"/>
        </w:rPr>
        <w:t>重点做好以下</w:t>
      </w:r>
      <w:r>
        <w:rPr>
          <w:rFonts w:hint="eastAsia" w:ascii="仿宋_GB2312" w:hAnsi="华文仿宋" w:eastAsia="仿宋_GB2312"/>
          <w:sz w:val="32"/>
          <w:szCs w:val="32"/>
          <w:lang w:eastAsia="zh-CN"/>
        </w:rPr>
        <w:t>四</w:t>
      </w:r>
      <w:r>
        <w:rPr>
          <w:rFonts w:hint="eastAsia" w:ascii="仿宋_GB2312" w:hAnsi="华文仿宋" w:eastAsia="仿宋_GB2312"/>
          <w:sz w:val="32"/>
          <w:szCs w:val="32"/>
        </w:rPr>
        <w:t>个方面：</w:t>
      </w:r>
    </w:p>
    <w:p>
      <w:pPr>
        <w:widowControl/>
        <w:numPr>
          <w:ilvl w:val="0"/>
          <w:numId w:val="0"/>
        </w:numPr>
        <w:shd w:val="clear" w:color="auto" w:fill="FFFFFF"/>
        <w:spacing w:line="600" w:lineRule="exact"/>
        <w:ind w:firstLine="624" w:firstLineChars="200"/>
        <w:rPr>
          <w:rFonts w:hint="eastAsia" w:ascii="仿宋_GB2312" w:hAnsi="仿宋_GB2312" w:eastAsia="仿宋_GB2312" w:cs="仿宋_GB2312"/>
          <w:sz w:val="32"/>
          <w:szCs w:val="32"/>
        </w:rPr>
      </w:pPr>
      <w:r>
        <w:rPr>
          <w:rFonts w:hint="eastAsia" w:ascii="楷体_GB2312" w:eastAsia="楷体_GB2312"/>
          <w:snapToGrid w:val="0"/>
          <w:spacing w:val="-4"/>
          <w:sz w:val="32"/>
          <w:szCs w:val="32"/>
          <w:lang w:eastAsia="zh-CN"/>
        </w:rPr>
        <w:t>（一）</w:t>
      </w:r>
      <w:r>
        <w:rPr>
          <w:rFonts w:hint="eastAsia" w:ascii="楷体_GB2312" w:eastAsia="楷体_GB2312"/>
          <w:snapToGrid w:val="0"/>
          <w:spacing w:val="-4"/>
          <w:sz w:val="32"/>
          <w:szCs w:val="32"/>
        </w:rPr>
        <w:t>进一步拓</w:t>
      </w:r>
      <w:r>
        <w:rPr>
          <w:rFonts w:hint="eastAsia" w:ascii="楷体_GB2312" w:eastAsia="楷体_GB2312"/>
          <w:snapToGrid w:val="0"/>
          <w:spacing w:val="-4"/>
          <w:sz w:val="32"/>
          <w:szCs w:val="32"/>
          <w:lang w:eastAsia="zh-CN"/>
        </w:rPr>
        <w:t>宽主动</w:t>
      </w:r>
      <w:r>
        <w:rPr>
          <w:rFonts w:hint="eastAsia" w:ascii="楷体_GB2312" w:eastAsia="楷体_GB2312"/>
          <w:snapToGrid w:val="0"/>
          <w:spacing w:val="-4"/>
          <w:sz w:val="32"/>
          <w:szCs w:val="32"/>
        </w:rPr>
        <w:t>公开渠道。</w:t>
      </w:r>
      <w:r>
        <w:rPr>
          <w:rFonts w:hint="eastAsia" w:ascii="仿宋_GB2312" w:hAnsi="仿宋_GB2312" w:eastAsia="仿宋_GB2312" w:cs="仿宋_GB2312"/>
          <w:snapToGrid w:val="0"/>
          <w:spacing w:val="-4"/>
          <w:sz w:val="32"/>
          <w:szCs w:val="32"/>
        </w:rPr>
        <w:t>及时对</w:t>
      </w:r>
      <w:r>
        <w:rPr>
          <w:rFonts w:hint="eastAsia" w:ascii="仿宋_GB2312" w:hAnsi="仿宋_GB2312" w:eastAsia="仿宋_GB2312" w:cs="仿宋_GB2312"/>
          <w:snapToGrid w:val="0"/>
          <w:spacing w:val="-4"/>
          <w:sz w:val="32"/>
          <w:szCs w:val="32"/>
          <w:lang w:eastAsia="zh-CN"/>
        </w:rPr>
        <w:t>政府信息</w:t>
      </w:r>
      <w:r>
        <w:rPr>
          <w:rFonts w:hint="eastAsia" w:ascii="仿宋_GB2312" w:hAnsi="仿宋_GB2312" w:eastAsia="仿宋_GB2312" w:cs="仿宋_GB2312"/>
          <w:snapToGrid w:val="0"/>
          <w:spacing w:val="-4"/>
          <w:sz w:val="32"/>
          <w:szCs w:val="32"/>
        </w:rPr>
        <w:t>公开</w:t>
      </w:r>
      <w:r>
        <w:rPr>
          <w:rFonts w:hint="eastAsia" w:ascii="仿宋_GB2312" w:hAnsi="仿宋_GB2312" w:eastAsia="仿宋_GB2312" w:cs="仿宋_GB2312"/>
          <w:snapToGrid w:val="0"/>
          <w:spacing w:val="-4"/>
          <w:sz w:val="32"/>
          <w:szCs w:val="32"/>
          <w:lang w:eastAsia="zh-CN"/>
        </w:rPr>
        <w:t>网</w:t>
      </w:r>
      <w:r>
        <w:rPr>
          <w:rFonts w:hint="eastAsia" w:ascii="仿宋_GB2312" w:hAnsi="仿宋_GB2312" w:eastAsia="仿宋_GB2312" w:cs="仿宋_GB2312"/>
          <w:snapToGrid w:val="0"/>
          <w:spacing w:val="-4"/>
          <w:sz w:val="32"/>
          <w:szCs w:val="32"/>
        </w:rPr>
        <w:t>进行提升改造，努力打造便捷、高效的政府信息公开服务平台，力争栏目设置更加科学、实用，公众访问更加便利、快捷。</w:t>
      </w:r>
      <w:r>
        <w:rPr>
          <w:rFonts w:hint="eastAsia" w:ascii="仿宋_GB2312" w:hAnsi="仿宋_GB2312" w:eastAsia="仿宋_GB2312" w:cs="仿宋_GB2312"/>
          <w:snapToGrid w:val="0"/>
          <w:spacing w:val="-4"/>
          <w:sz w:val="32"/>
          <w:szCs w:val="32"/>
          <w:lang w:eastAsia="zh-CN"/>
        </w:rPr>
        <w:t>打造重点领域公开专网，集中统一公开征地拆迁、教育卫生、重大项目、棚户区改造、危旧房改造、生态环保等领域信息。会同区委宣传部进一步健全</w:t>
      </w:r>
      <w:r>
        <w:rPr>
          <w:rFonts w:hint="eastAsia" w:ascii="仿宋_GB2312" w:hAnsi="仿宋_GB2312" w:eastAsia="仿宋_GB2312" w:cs="仿宋_GB2312"/>
          <w:snapToGrid w:val="0"/>
          <w:spacing w:val="-4"/>
          <w:sz w:val="32"/>
          <w:szCs w:val="32"/>
        </w:rPr>
        <w:t>政府新闻</w:t>
      </w:r>
      <w:r>
        <w:rPr>
          <w:rFonts w:hint="eastAsia" w:ascii="仿宋_GB2312" w:hAnsi="仿宋_GB2312" w:eastAsia="仿宋_GB2312" w:cs="仿宋_GB2312"/>
          <w:snapToGrid w:val="0"/>
          <w:spacing w:val="-4"/>
          <w:sz w:val="32"/>
          <w:szCs w:val="32"/>
          <w:lang w:eastAsia="zh-CN"/>
        </w:rPr>
        <w:t>发言人制度</w:t>
      </w:r>
      <w:r>
        <w:rPr>
          <w:rFonts w:hint="eastAsia" w:ascii="仿宋_GB2312" w:hAnsi="仿宋_GB2312" w:eastAsia="仿宋_GB2312" w:cs="仿宋_GB2312"/>
          <w:snapToGrid w:val="0"/>
          <w:spacing w:val="-4"/>
          <w:sz w:val="32"/>
          <w:szCs w:val="32"/>
        </w:rPr>
        <w:t xml:space="preserve">，更好地回应公众关切。 </w:t>
      </w:r>
    </w:p>
    <w:p>
      <w:pPr>
        <w:numPr>
          <w:ilvl w:val="0"/>
          <w:numId w:val="0"/>
        </w:numPr>
        <w:ind w:firstLine="624" w:firstLineChars="200"/>
        <w:jc w:val="both"/>
        <w:rPr>
          <w:rFonts w:hint="eastAsia" w:ascii="仿宋_GB2312" w:hAnsi="仿宋_GB2312" w:eastAsia="仿宋_GB2312" w:cs="仿宋_GB2312"/>
          <w:sz w:val="32"/>
          <w:szCs w:val="32"/>
          <w:lang w:val="en-US" w:eastAsia="zh-CN"/>
        </w:rPr>
      </w:pPr>
      <w:r>
        <w:rPr>
          <w:rFonts w:hint="eastAsia" w:ascii="楷体_GB2312" w:eastAsia="楷体_GB2312"/>
          <w:snapToGrid w:val="0"/>
          <w:spacing w:val="-4"/>
          <w:sz w:val="32"/>
          <w:szCs w:val="32"/>
          <w:lang w:eastAsia="zh-CN"/>
        </w:rPr>
        <w:t>（二）</w:t>
      </w:r>
      <w:r>
        <w:rPr>
          <w:rFonts w:hint="eastAsia" w:ascii="楷体_GB2312" w:eastAsia="楷体_GB2312"/>
          <w:snapToGrid w:val="0"/>
          <w:spacing w:val="-4"/>
          <w:sz w:val="32"/>
          <w:szCs w:val="32"/>
        </w:rPr>
        <w:t>进一步</w:t>
      </w:r>
      <w:r>
        <w:rPr>
          <w:rFonts w:hint="eastAsia" w:ascii="楷体_GB2312" w:eastAsia="楷体_GB2312"/>
          <w:snapToGrid w:val="0"/>
          <w:spacing w:val="-4"/>
          <w:sz w:val="32"/>
          <w:szCs w:val="32"/>
          <w:lang w:eastAsia="zh-CN"/>
        </w:rPr>
        <w:t>强化督查与考核力度</w:t>
      </w:r>
      <w:r>
        <w:rPr>
          <w:rFonts w:hint="eastAsia" w:ascii="楷体_GB2312" w:eastAsia="楷体_GB2312"/>
          <w:snapToGrid w:val="0"/>
          <w:spacing w:val="-4"/>
          <w:sz w:val="32"/>
          <w:szCs w:val="32"/>
        </w:rPr>
        <w:t>。</w:t>
      </w:r>
      <w:r>
        <w:rPr>
          <w:rFonts w:hint="eastAsia" w:ascii="仿宋_GB2312" w:hAnsi="仿宋_GB2312" w:eastAsia="仿宋_GB2312" w:cs="仿宋_GB2312"/>
          <w:snapToGrid w:val="0"/>
          <w:spacing w:val="-4"/>
          <w:sz w:val="32"/>
          <w:szCs w:val="32"/>
        </w:rPr>
        <w:t>大力推进决策公开、执行公开、管理公开、服务公开、结果公开。</w:t>
      </w:r>
      <w:r>
        <w:rPr>
          <w:rFonts w:hint="eastAsia" w:ascii="仿宋_GB2312" w:hAnsi="仿宋_GB2312" w:eastAsia="仿宋_GB2312" w:cs="仿宋_GB2312"/>
          <w:snapToGrid w:val="0"/>
          <w:spacing w:val="-4"/>
          <w:sz w:val="32"/>
          <w:szCs w:val="32"/>
          <w:lang w:val="en-US" w:eastAsia="zh-CN"/>
        </w:rPr>
        <w:t>建立第三方测评与督查通报相结合制度。</w:t>
      </w:r>
      <w:r>
        <w:rPr>
          <w:rFonts w:hint="eastAsia" w:ascii="仿宋_GB2312" w:hAnsi="仿宋_GB2312" w:eastAsia="仿宋_GB2312" w:cs="仿宋_GB2312"/>
          <w:sz w:val="32"/>
          <w:szCs w:val="32"/>
          <w:lang w:val="en-US" w:eastAsia="zh-CN"/>
        </w:rPr>
        <w:t>拟通过第三方测评，对政府信息公开网进行季度与年度测评，并将测评报告以通报形式点对点反馈给各单位，督促各单位及时、规范发布政府信息。同时，建立统计分析制度，按月对各单位信息发布数量和及时性情况进行通报，杜绝信息公开栏目更新不及时现象。</w:t>
      </w:r>
    </w:p>
    <w:p>
      <w:pPr>
        <w:widowControl/>
        <w:numPr>
          <w:ilvl w:val="0"/>
          <w:numId w:val="0"/>
        </w:numPr>
        <w:shd w:val="clear" w:color="auto" w:fill="FFFFFF"/>
        <w:spacing w:line="600" w:lineRule="exact"/>
        <w:ind w:firstLine="624" w:firstLineChars="200"/>
        <w:rPr>
          <w:rFonts w:hint="eastAsia" w:ascii="仿宋_GB2312" w:hAnsi="仿宋_GB2312" w:eastAsia="仿宋_GB2312" w:cs="仿宋_GB2312"/>
          <w:snapToGrid w:val="0"/>
          <w:spacing w:val="-4"/>
          <w:sz w:val="32"/>
          <w:szCs w:val="32"/>
        </w:rPr>
      </w:pPr>
      <w:r>
        <w:rPr>
          <w:rFonts w:hint="eastAsia" w:ascii="楷体_GB2312" w:eastAsia="楷体_GB2312"/>
          <w:snapToGrid w:val="0"/>
          <w:spacing w:val="-4"/>
          <w:sz w:val="32"/>
          <w:szCs w:val="32"/>
        </w:rPr>
        <w:t>（三）进一步加强依申请公开工作。</w:t>
      </w:r>
      <w:r>
        <w:rPr>
          <w:rFonts w:hint="eastAsia" w:ascii="仿宋_GB2312" w:hAnsi="仿宋_GB2312" w:eastAsia="仿宋_GB2312" w:cs="仿宋_GB2312"/>
          <w:snapToGrid w:val="0"/>
          <w:spacing w:val="-4"/>
          <w:sz w:val="32"/>
          <w:szCs w:val="32"/>
        </w:rPr>
        <w:t>深化对《条例》《</w:t>
      </w:r>
      <w:r>
        <w:rPr>
          <w:rFonts w:hint="eastAsia" w:ascii="仿宋_GB2312" w:hAnsi="仿宋_GB2312" w:eastAsia="仿宋_GB2312" w:cs="仿宋_GB2312"/>
          <w:snapToGrid w:val="0"/>
          <w:spacing w:val="-4"/>
          <w:sz w:val="32"/>
          <w:szCs w:val="32"/>
          <w:lang w:eastAsia="zh-CN"/>
        </w:rPr>
        <w:t>最高人民法院关于审理政府信息公开行政案件若干问题的规定</w:t>
      </w:r>
      <w:r>
        <w:rPr>
          <w:rFonts w:hint="eastAsia" w:ascii="仿宋_GB2312" w:hAnsi="仿宋_GB2312" w:eastAsia="仿宋_GB2312" w:cs="仿宋_GB2312"/>
          <w:snapToGrid w:val="0"/>
          <w:spacing w:val="-4"/>
          <w:sz w:val="32"/>
          <w:szCs w:val="32"/>
        </w:rPr>
        <w:t>》等的理解应用，不断规范</w:t>
      </w:r>
      <w:r>
        <w:rPr>
          <w:rFonts w:hint="eastAsia" w:ascii="仿宋_GB2312" w:hAnsi="仿宋_GB2312" w:eastAsia="仿宋_GB2312" w:cs="仿宋_GB2312"/>
          <w:snapToGrid w:val="0"/>
          <w:spacing w:val="-4"/>
          <w:sz w:val="32"/>
          <w:szCs w:val="32"/>
          <w:lang w:eastAsia="zh-CN"/>
        </w:rPr>
        <w:t>依申请公开规范答复工作</w:t>
      </w:r>
      <w:r>
        <w:rPr>
          <w:rFonts w:hint="eastAsia" w:ascii="仿宋_GB2312" w:hAnsi="仿宋_GB2312" w:eastAsia="仿宋_GB2312" w:cs="仿宋_GB2312"/>
          <w:snapToGrid w:val="0"/>
          <w:spacing w:val="-4"/>
          <w:sz w:val="32"/>
          <w:szCs w:val="32"/>
        </w:rPr>
        <w:t>。着重抓好区政府各部门、</w:t>
      </w:r>
      <w:r>
        <w:rPr>
          <w:rFonts w:hint="eastAsia" w:ascii="仿宋_GB2312" w:hAnsi="仿宋_GB2312" w:eastAsia="仿宋_GB2312" w:cs="仿宋_GB2312"/>
          <w:snapToGrid w:val="0"/>
          <w:spacing w:val="-4"/>
          <w:sz w:val="32"/>
          <w:szCs w:val="32"/>
          <w:lang w:eastAsia="zh-CN"/>
        </w:rPr>
        <w:t>和</w:t>
      </w:r>
      <w:r>
        <w:rPr>
          <w:rFonts w:hint="eastAsia" w:ascii="仿宋_GB2312" w:hAnsi="仿宋_GB2312" w:eastAsia="仿宋_GB2312" w:cs="仿宋_GB2312"/>
          <w:snapToGrid w:val="0"/>
          <w:spacing w:val="-4"/>
          <w:sz w:val="32"/>
          <w:szCs w:val="32"/>
        </w:rPr>
        <w:t>镇</w:t>
      </w:r>
      <w:r>
        <w:rPr>
          <w:rFonts w:hint="eastAsia" w:ascii="仿宋_GB2312" w:hAnsi="仿宋_GB2312" w:eastAsia="仿宋_GB2312" w:cs="仿宋_GB2312"/>
          <w:snapToGrid w:val="0"/>
          <w:spacing w:val="-4"/>
          <w:sz w:val="32"/>
          <w:szCs w:val="32"/>
          <w:lang w:eastAsia="zh-CN"/>
        </w:rPr>
        <w:t>（乡）、</w:t>
      </w:r>
      <w:r>
        <w:rPr>
          <w:rFonts w:hint="eastAsia" w:ascii="仿宋_GB2312" w:hAnsi="仿宋_GB2312" w:eastAsia="仿宋_GB2312" w:cs="仿宋_GB2312"/>
          <w:snapToGrid w:val="0"/>
          <w:spacing w:val="-4"/>
          <w:sz w:val="32"/>
          <w:szCs w:val="32"/>
        </w:rPr>
        <w:t>街道依申请公开处理工作，梳理普遍性问题并加以研究解决，进一步提高行政机关依申请公开答复水平，做好因依申请公开引起的复议、诉讼应答工作。积极引导公民、法人和其他组织正确行使申请权、救济权，促进依申请公开工作健康发展。</w:t>
      </w:r>
    </w:p>
    <w:p>
      <w:pPr>
        <w:widowControl/>
        <w:shd w:val="clear" w:color="auto" w:fill="FFFFFF"/>
        <w:spacing w:line="600" w:lineRule="exact"/>
        <w:ind w:firstLine="624" w:firstLineChars="200"/>
        <w:rPr>
          <w:rFonts w:hint="eastAsia" w:ascii="仿宋" w:hAnsi="仿宋" w:eastAsia="仿宋"/>
          <w:snapToGrid w:val="0"/>
          <w:spacing w:val="-4"/>
          <w:sz w:val="32"/>
          <w:szCs w:val="32"/>
        </w:rPr>
      </w:pPr>
      <w:r>
        <w:rPr>
          <w:rFonts w:hint="eastAsia" w:ascii="楷体_GB2312" w:eastAsia="楷体_GB2312"/>
          <w:snapToGrid w:val="0"/>
          <w:spacing w:val="-4"/>
          <w:sz w:val="32"/>
          <w:szCs w:val="32"/>
        </w:rPr>
        <w:t>（四）进一步完善保障措施。</w:t>
      </w:r>
      <w:r>
        <w:rPr>
          <w:rFonts w:hint="eastAsia" w:ascii="仿宋_GB2312" w:hAnsi="仿宋_GB2312" w:eastAsia="仿宋_GB2312" w:cs="仿宋_GB2312"/>
          <w:snapToGrid w:val="0"/>
          <w:spacing w:val="-4"/>
          <w:sz w:val="32"/>
          <w:szCs w:val="32"/>
        </w:rPr>
        <w:t>高度重视基础性工作，</w:t>
      </w:r>
      <w:r>
        <w:rPr>
          <w:rFonts w:hint="eastAsia" w:ascii="仿宋_GB2312" w:hAnsi="仿宋_GB2312" w:eastAsia="仿宋_GB2312" w:cs="仿宋_GB2312"/>
          <w:snapToGrid w:val="0"/>
          <w:spacing w:val="-4"/>
          <w:sz w:val="32"/>
          <w:szCs w:val="32"/>
          <w:lang w:eastAsia="zh-CN"/>
        </w:rPr>
        <w:t>调整并发布全区政务公开工作领导小组</w:t>
      </w:r>
      <w:r>
        <w:rPr>
          <w:rFonts w:hint="eastAsia" w:ascii="仿宋_GB2312" w:hAnsi="仿宋_GB2312" w:eastAsia="仿宋_GB2312" w:cs="仿宋_GB2312"/>
          <w:snapToGrid w:val="0"/>
          <w:spacing w:val="-4"/>
          <w:sz w:val="32"/>
          <w:szCs w:val="32"/>
        </w:rPr>
        <w:t>，</w:t>
      </w:r>
      <w:r>
        <w:rPr>
          <w:rFonts w:hint="eastAsia" w:ascii="仿宋_GB2312" w:hAnsi="仿宋_GB2312" w:eastAsia="仿宋_GB2312" w:cs="仿宋_GB2312"/>
          <w:snapToGrid w:val="0"/>
          <w:spacing w:val="-4"/>
          <w:sz w:val="32"/>
          <w:szCs w:val="32"/>
          <w:lang w:eastAsia="zh-CN"/>
        </w:rPr>
        <w:t>明确政务公开</w:t>
      </w:r>
      <w:r>
        <w:rPr>
          <w:rFonts w:hint="eastAsia" w:ascii="仿宋_GB2312" w:hAnsi="仿宋_GB2312" w:eastAsia="仿宋_GB2312" w:cs="仿宋_GB2312"/>
          <w:snapToGrid w:val="0"/>
          <w:spacing w:val="-4"/>
          <w:sz w:val="32"/>
          <w:szCs w:val="32"/>
        </w:rPr>
        <w:t>工作机构以及人员、经费等，</w:t>
      </w:r>
      <w:r>
        <w:rPr>
          <w:rFonts w:hint="eastAsia" w:ascii="仿宋_GB2312" w:hAnsi="仿宋_GB2312" w:eastAsia="仿宋_GB2312" w:cs="仿宋_GB2312"/>
          <w:snapToGrid w:val="0"/>
          <w:spacing w:val="-4"/>
          <w:sz w:val="32"/>
          <w:szCs w:val="32"/>
          <w:lang w:eastAsia="zh-CN"/>
        </w:rPr>
        <w:t>落实各单位政务公开</w:t>
      </w:r>
      <w:r>
        <w:rPr>
          <w:rFonts w:hint="eastAsia" w:ascii="仿宋_GB2312" w:hAnsi="仿宋_GB2312" w:eastAsia="仿宋_GB2312" w:cs="仿宋_GB2312"/>
          <w:snapToGrid w:val="0"/>
          <w:spacing w:val="-4"/>
          <w:sz w:val="32"/>
          <w:szCs w:val="32"/>
        </w:rPr>
        <w:t>分管</w:t>
      </w:r>
      <w:r>
        <w:rPr>
          <w:rFonts w:hint="eastAsia" w:ascii="仿宋_GB2312" w:hAnsi="仿宋_GB2312" w:eastAsia="仿宋_GB2312" w:cs="仿宋_GB2312"/>
          <w:snapToGrid w:val="0"/>
          <w:spacing w:val="-4"/>
          <w:sz w:val="32"/>
          <w:szCs w:val="32"/>
          <w:lang w:eastAsia="zh-CN"/>
        </w:rPr>
        <w:t>领导责任</w:t>
      </w:r>
      <w:r>
        <w:rPr>
          <w:rFonts w:hint="eastAsia" w:ascii="仿宋_GB2312" w:hAnsi="仿宋_GB2312" w:eastAsia="仿宋_GB2312" w:cs="仿宋_GB2312"/>
          <w:snapToGrid w:val="0"/>
          <w:spacing w:val="-4"/>
          <w:sz w:val="32"/>
          <w:szCs w:val="32"/>
        </w:rPr>
        <w:t>，确保各项工作措施落实到位。建立培训工作常态化机制，努力提升工作人员的政策把握能力。高度重视政府信息公开保密审查工作，真正落实“谁公开、谁审查、谁负责”“先审查、后公开”</w:t>
      </w:r>
      <w:r>
        <w:rPr>
          <w:rFonts w:hint="eastAsia" w:ascii="仿宋_GB2312" w:hAnsi="仿宋_GB2312" w:eastAsia="仿宋_GB2312" w:cs="仿宋_GB2312"/>
          <w:snapToGrid w:val="0"/>
          <w:spacing w:val="-4"/>
          <w:sz w:val="32"/>
          <w:szCs w:val="32"/>
          <w:lang w:eastAsia="zh-CN"/>
        </w:rPr>
        <w:t>的</w:t>
      </w:r>
      <w:r>
        <w:rPr>
          <w:rFonts w:hint="eastAsia" w:ascii="仿宋_GB2312" w:hAnsi="仿宋_GB2312" w:eastAsia="仿宋_GB2312" w:cs="仿宋_GB2312"/>
          <w:snapToGrid w:val="0"/>
          <w:spacing w:val="-4"/>
          <w:sz w:val="32"/>
          <w:szCs w:val="32"/>
        </w:rPr>
        <w:t>规定，确保保密审查有领导分管、有专人实施，杜绝网络失泄密事件发生。</w:t>
      </w: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11" w:firstLineChars="196"/>
        <w:textAlignment w:val="auto"/>
        <w:outlineLvl w:val="9"/>
        <w:rPr>
          <w:rFonts w:hint="eastAsia" w:ascii="仿宋_GB2312" w:eastAsia="仿宋_GB2312"/>
          <w:snapToGrid w:val="0"/>
          <w:spacing w:val="-4"/>
          <w:sz w:val="32"/>
          <w:szCs w:val="32"/>
          <w:lang w:eastAsia="zh-CN"/>
        </w:rPr>
      </w:pPr>
      <w:r>
        <w:rPr>
          <w:rFonts w:hint="eastAsia" w:ascii="黑体" w:hAnsi="黑体" w:eastAsia="黑体" w:cs="黑体"/>
          <w:snapToGrid w:val="0"/>
          <w:spacing w:val="-4"/>
          <w:sz w:val="32"/>
          <w:szCs w:val="32"/>
          <w:lang w:eastAsia="zh-CN"/>
        </w:rPr>
        <w:t>七、其他需要报告的事项</w:t>
      </w: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11" w:firstLineChars="196"/>
        <w:textAlignment w:val="auto"/>
        <w:outlineLvl w:val="9"/>
        <w:rPr>
          <w:rFonts w:hint="eastAsia" w:ascii="仿宋_GB2312" w:eastAsia="仿宋_GB2312"/>
          <w:snapToGrid w:val="0"/>
          <w:spacing w:val="-4"/>
          <w:sz w:val="32"/>
          <w:szCs w:val="32"/>
          <w:lang w:eastAsia="zh-CN"/>
        </w:rPr>
      </w:pPr>
      <w:r>
        <w:rPr>
          <w:rFonts w:hint="eastAsia" w:ascii="仿宋_GB2312" w:eastAsia="仿宋_GB2312"/>
          <w:snapToGrid w:val="0"/>
          <w:spacing w:val="-4"/>
          <w:sz w:val="32"/>
          <w:szCs w:val="32"/>
          <w:lang w:eastAsia="zh-CN"/>
        </w:rPr>
        <w:t>无。</w:t>
      </w: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11" w:firstLineChars="196"/>
        <w:textAlignment w:val="auto"/>
        <w:outlineLvl w:val="9"/>
        <w:rPr>
          <w:rFonts w:hint="eastAsia" w:ascii="仿宋_GB2312" w:eastAsia="仿宋_GB2312"/>
          <w:snapToGrid w:val="0"/>
          <w:spacing w:val="-4"/>
          <w:sz w:val="32"/>
          <w:szCs w:val="32"/>
          <w:lang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1601" w:leftChars="304" w:right="0" w:rightChars="0" w:hanging="963" w:hangingChars="301"/>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海曙区政府办公室信息公开情况统计表</w:t>
      </w: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left="0" w:leftChars="0" w:right="0" w:rightChars="0" w:firstLine="627" w:firstLineChars="196"/>
        <w:textAlignment w:val="auto"/>
        <w:outlineLvl w:val="9"/>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spacing w:before="0" w:beforeLines="0" w:after="0" w:afterLines="0" w:line="600" w:lineRule="exact"/>
        <w:ind w:right="0" w:rightChars="0"/>
        <w:textAlignment w:val="auto"/>
        <w:outlineLvl w:val="9"/>
        <w:rPr>
          <w:rFonts w:hint="eastAsia" w:ascii="仿宋_GB2312" w:eastAsia="仿宋_GB2312"/>
          <w:sz w:val="32"/>
          <w:szCs w:val="32"/>
          <w:lang w:val="en-US" w:eastAsia="zh-CN"/>
        </w:rPr>
      </w:pPr>
    </w:p>
    <w:p>
      <w:pPr>
        <w:widowControl/>
        <w:jc w:val="left"/>
        <w:rPr>
          <w:rFonts w:ascii="黑体" w:hAnsi="宋体" w:eastAsia="黑体"/>
          <w:snapToGrid w:val="0"/>
          <w:color w:val="000000"/>
          <w:spacing w:val="-4"/>
          <w:sz w:val="32"/>
          <w:szCs w:val="32"/>
        </w:rPr>
      </w:pPr>
      <w:r>
        <w:rPr>
          <w:rFonts w:hint="eastAsia" w:ascii="黑体" w:hAnsi="宋体" w:eastAsia="黑体" w:cs="方正黑体_GBK"/>
          <w:snapToGrid w:val="0"/>
          <w:color w:val="000000"/>
          <w:spacing w:val="-4"/>
          <w:sz w:val="32"/>
          <w:szCs w:val="32"/>
        </w:rPr>
        <w:t>附件</w:t>
      </w:r>
    </w:p>
    <w:p>
      <w:pPr>
        <w:widowControl/>
        <w:spacing w:line="432" w:lineRule="atLeast"/>
        <w:jc w:val="center"/>
        <w:rPr>
          <w:rFonts w:hint="eastAsia" w:ascii="方正小标宋简体" w:hAnsi="方正小标宋简体" w:eastAsia="方正小标宋简体" w:cs="方正小标宋简体"/>
          <w:snapToGrid w:val="0"/>
          <w:color w:val="000000"/>
          <w:spacing w:val="-4"/>
          <w:sz w:val="44"/>
          <w:szCs w:val="44"/>
        </w:rPr>
      </w:pPr>
      <w:r>
        <w:rPr>
          <w:rFonts w:hint="eastAsia" w:ascii="方正小标宋简体" w:hAnsi="方正小标宋简体" w:eastAsia="方正小标宋简体" w:cs="方正小标宋简体"/>
          <w:snapToGrid w:val="0"/>
          <w:color w:val="000000"/>
          <w:spacing w:val="-4"/>
          <w:sz w:val="44"/>
          <w:szCs w:val="44"/>
          <w:lang w:eastAsia="zh-CN"/>
        </w:rPr>
        <w:t>海曙区</w:t>
      </w:r>
      <w:r>
        <w:rPr>
          <w:rFonts w:hint="eastAsia" w:ascii="方正小标宋简体" w:hAnsi="方正小标宋简体" w:eastAsia="方正小标宋简体" w:cs="方正小标宋简体"/>
          <w:snapToGrid w:val="0"/>
          <w:color w:val="000000"/>
          <w:spacing w:val="-4"/>
          <w:sz w:val="44"/>
          <w:szCs w:val="44"/>
        </w:rPr>
        <w:t>政府</w:t>
      </w:r>
      <w:r>
        <w:rPr>
          <w:rFonts w:hint="eastAsia" w:ascii="方正小标宋简体" w:hAnsi="方正小标宋简体" w:eastAsia="方正小标宋简体" w:cs="方正小标宋简体"/>
          <w:snapToGrid w:val="0"/>
          <w:color w:val="000000"/>
          <w:spacing w:val="-4"/>
          <w:sz w:val="44"/>
          <w:szCs w:val="44"/>
          <w:lang w:eastAsia="zh-CN"/>
        </w:rPr>
        <w:t>办公室</w:t>
      </w:r>
      <w:r>
        <w:rPr>
          <w:rFonts w:hint="eastAsia" w:ascii="方正小标宋简体" w:hAnsi="方正小标宋简体" w:eastAsia="方正小标宋简体" w:cs="方正小标宋简体"/>
          <w:snapToGrid w:val="0"/>
          <w:color w:val="000000"/>
          <w:spacing w:val="-4"/>
          <w:sz w:val="44"/>
          <w:szCs w:val="44"/>
        </w:rPr>
        <w:t>信息公开情况统计表</w:t>
      </w:r>
    </w:p>
    <w:p>
      <w:pPr>
        <w:widowControl/>
        <w:spacing w:line="432" w:lineRule="atLeast"/>
        <w:jc w:val="center"/>
        <w:rPr>
          <w:rFonts w:ascii="楷体_GB2312" w:hAnsi="宋体" w:eastAsia="楷体_GB2312" w:cs="宋体"/>
          <w:snapToGrid w:val="0"/>
          <w:color w:val="000000"/>
          <w:spacing w:val="-4"/>
          <w:sz w:val="24"/>
        </w:rPr>
      </w:pPr>
      <w:r>
        <w:rPr>
          <w:rFonts w:hint="eastAsia" w:ascii="楷体_GB2312" w:hAnsi="宋体" w:eastAsia="楷体_GB2312" w:cs="宋体"/>
          <w:snapToGrid w:val="0"/>
          <w:color w:val="000000"/>
          <w:spacing w:val="-4"/>
          <w:sz w:val="24"/>
        </w:rPr>
        <w:t>（</w:t>
      </w:r>
      <w:r>
        <w:rPr>
          <w:rFonts w:hint="eastAsia" w:ascii="楷体_GB2312" w:hAnsi="宋体" w:eastAsia="楷体_GB2312" w:cs="宋体"/>
          <w:snapToGrid w:val="0"/>
          <w:color w:val="000000"/>
          <w:spacing w:val="-4"/>
          <w:sz w:val="24"/>
          <w:lang w:val="en-US" w:eastAsia="zh-CN"/>
        </w:rPr>
        <w:t>2017</w:t>
      </w:r>
      <w:r>
        <w:rPr>
          <w:rFonts w:hint="eastAsia" w:ascii="楷体_GB2312" w:hAnsi="宋体" w:eastAsia="楷体_GB2312" w:cs="方正楷体_GBK"/>
          <w:snapToGrid w:val="0"/>
          <w:color w:val="000000"/>
          <w:spacing w:val="-4"/>
          <w:sz w:val="24"/>
        </w:rPr>
        <w:t>年度</w:t>
      </w:r>
      <w:r>
        <w:rPr>
          <w:rFonts w:hint="eastAsia" w:ascii="楷体_GB2312" w:hAnsi="宋体" w:eastAsia="楷体_GB2312" w:cs="宋体"/>
          <w:snapToGrid w:val="0"/>
          <w:color w:val="000000"/>
          <w:spacing w:val="-4"/>
          <w:sz w:val="24"/>
        </w:rPr>
        <w:t>）</w:t>
      </w:r>
    </w:p>
    <w:p>
      <w:pPr>
        <w:widowControl/>
        <w:spacing w:line="432" w:lineRule="atLeast"/>
        <w:jc w:val="left"/>
        <w:rPr>
          <w:rFonts w:ascii="仿宋_GB2312" w:hAnsi="宋体" w:eastAsia="仿宋_GB2312"/>
          <w:snapToGrid w:val="0"/>
          <w:color w:val="000000"/>
          <w:spacing w:val="-4"/>
          <w:szCs w:val="21"/>
        </w:rPr>
      </w:pPr>
      <w:r>
        <w:rPr>
          <w:rFonts w:hint="eastAsia" w:ascii="仿宋_GB2312" w:hAnsi="宋体" w:eastAsia="仿宋_GB2312" w:cs="方正仿宋_GBK"/>
          <w:snapToGrid w:val="0"/>
          <w:color w:val="000000"/>
          <w:spacing w:val="-4"/>
          <w:szCs w:val="21"/>
        </w:rPr>
        <w:t>填报单位（盖章）：</w:t>
      </w:r>
      <w:r>
        <w:rPr>
          <w:rFonts w:hint="eastAsia" w:ascii="仿宋_GB2312" w:hAnsi="宋体" w:eastAsia="仿宋_GB2312" w:cs="方正仿宋_GBK"/>
          <w:snapToGrid w:val="0"/>
          <w:color w:val="000000"/>
          <w:spacing w:val="-4"/>
          <w:szCs w:val="21"/>
          <w:lang w:eastAsia="zh-CN"/>
        </w:rPr>
        <w:t>海曙区府办</w:t>
      </w:r>
    </w:p>
    <w:tbl>
      <w:tblPr>
        <w:tblStyle w:val="10"/>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（一）主动公开政府信息数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（不同渠道和方式公开相同信息计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992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73"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984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63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（一）回应公众关注热点或重大舆情数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（不同方式回应同一热点或舆情计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6.</w:t>
            </w:r>
            <w:r>
              <w:rPr>
                <w:rFonts w:hint="eastAsia" w:ascii="仿宋_GB2312" w:hAnsi="宋体" w:eastAsia="仿宋_GB2312" w:cs="方正仿宋_GBK"/>
                <w:snapToGrid w:val="0"/>
                <w:spacing w:val="-4"/>
                <w:szCs w:val="21"/>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7.</w:t>
            </w:r>
            <w:r>
              <w:rPr>
                <w:rFonts w:hint="eastAsia" w:ascii="仿宋_GB2312" w:hAnsi="宋体" w:eastAsia="仿宋_GB2312" w:cs="方正仿宋_GBK"/>
                <w:snapToGrid w:val="0"/>
                <w:spacing w:val="-4"/>
                <w:szCs w:val="21"/>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8.</w:t>
            </w:r>
            <w:r>
              <w:rPr>
                <w:rFonts w:hint="eastAsia" w:ascii="仿宋_GB2312" w:hAnsi="宋体" w:eastAsia="仿宋_GB2312" w:cs="方正仿宋_GBK"/>
                <w:snapToGrid w:val="0"/>
                <w:spacing w:val="-4"/>
                <w:szCs w:val="21"/>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rFonts w:ascii="仿宋_GB2312" w:hAnsi="宋体" w:eastAsia="仿宋_GB2312" w:cs="方正仿宋_GBK"/>
                <w:snapToGrid w:val="0"/>
                <w:spacing w:val="-4"/>
                <w:szCs w:val="21"/>
              </w:rPr>
            </w:pPr>
            <w:r>
              <w:rPr>
                <w:rFonts w:hint="eastAsia" w:ascii="仿宋_GB2312" w:hAnsi="宋体" w:eastAsia="仿宋_GB2312" w:cs="方正仿宋_GBK"/>
                <w:snapToGrid w:val="0"/>
                <w:spacing w:val="-4"/>
                <w:szCs w:val="21"/>
              </w:rPr>
              <w:t>（四）政府信息公开专项经费（不包括用于政府公报编辑管理及</w:t>
            </w:r>
          </w:p>
          <w:p>
            <w:pPr>
              <w:widowControl/>
              <w:adjustRightInd w:val="0"/>
              <w:snapToGrid w:val="0"/>
              <w:spacing w:line="300" w:lineRule="exact"/>
              <w:ind w:firstLine="995" w:firstLineChars="493"/>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80</w:t>
            </w:r>
          </w:p>
        </w:tc>
      </w:tr>
    </w:tbl>
    <w:p>
      <w:pPr>
        <w:widowControl/>
        <w:spacing w:line="432" w:lineRule="atLeast"/>
        <w:jc w:val="left"/>
        <w:rPr>
          <w:rFonts w:ascii="仿宋_GB2312" w:hAnsi="宋体" w:eastAsia="仿宋_GB2312" w:cs="方正仿宋_GBK"/>
          <w:color w:val="000000"/>
          <w:kern w:val="0"/>
          <w:szCs w:val="21"/>
        </w:rPr>
      </w:pPr>
      <w:bookmarkStart w:id="0" w:name="_GoBack"/>
      <w:bookmarkEnd w:id="0"/>
      <w:r>
        <w:rPr>
          <w:rFonts w:hint="eastAsia" w:ascii="仿宋_GB2312" w:hAnsi="宋体" w:eastAsia="仿宋_GB2312" w:cs="方正仿宋_GBK"/>
          <w:color w:val="000000"/>
          <w:kern w:val="0"/>
          <w:szCs w:val="21"/>
        </w:rPr>
        <w:t>联系电话：</w:t>
      </w:r>
      <w:r>
        <w:rPr>
          <w:rFonts w:hint="eastAsia" w:ascii="仿宋_GB2312" w:hAnsi="宋体" w:eastAsia="仿宋_GB2312" w:cs="方正仿宋_GBK"/>
          <w:color w:val="000000"/>
          <w:kern w:val="0"/>
          <w:szCs w:val="21"/>
          <w:lang w:val="en-US" w:eastAsia="zh-CN"/>
        </w:rPr>
        <w:t>55889195</w:t>
      </w:r>
      <w:r>
        <w:rPr>
          <w:rFonts w:hint="eastAsia" w:ascii="仿宋_GB2312" w:hAnsi="宋体" w:eastAsia="仿宋_GB2312" w:cs="方正仿宋_GBK"/>
          <w:color w:val="000000"/>
          <w:kern w:val="0"/>
          <w:szCs w:val="21"/>
        </w:rPr>
        <w:t>　　　　　　　　　　　　　　</w:t>
      </w:r>
      <w:r>
        <w:rPr>
          <w:rFonts w:ascii="仿宋_GB2312" w:hAnsi="宋体" w:eastAsia="仿宋_GB2312" w:cs="方正仿宋_GBK"/>
          <w:color w:val="000000"/>
          <w:kern w:val="0"/>
          <w:szCs w:val="21"/>
        </w:rPr>
        <w:t xml:space="preserve">  </w:t>
      </w:r>
      <w:r>
        <w:rPr>
          <w:rFonts w:hint="eastAsia" w:ascii="仿宋_GB2312" w:hAnsi="宋体" w:eastAsia="仿宋_GB2312" w:cs="方正仿宋_GBK"/>
          <w:color w:val="000000"/>
          <w:kern w:val="0"/>
          <w:szCs w:val="21"/>
        </w:rPr>
        <w:t>　</w:t>
      </w:r>
      <w:r>
        <w:rPr>
          <w:rFonts w:hint="eastAsia" w:ascii="仿宋_GB2312" w:hAnsi="宋体" w:eastAsia="仿宋_GB2312" w:cs="方正仿宋_GBK"/>
          <w:color w:val="000000"/>
          <w:kern w:val="0"/>
          <w:szCs w:val="21"/>
          <w:lang w:val="en-US" w:eastAsia="zh-CN"/>
        </w:rPr>
        <w:t xml:space="preserve">              </w:t>
      </w:r>
      <w:r>
        <w:rPr>
          <w:rFonts w:hint="eastAsia" w:ascii="仿宋_GB2312" w:hAnsi="宋体" w:eastAsia="仿宋_GB2312" w:cs="方正仿宋_GBK"/>
          <w:color w:val="000000"/>
          <w:kern w:val="0"/>
          <w:szCs w:val="21"/>
        </w:rPr>
        <w:t>填报日期：</w:t>
      </w:r>
      <w:r>
        <w:rPr>
          <w:rFonts w:hint="eastAsia" w:ascii="仿宋_GB2312" w:hAnsi="宋体" w:eastAsia="仿宋_GB2312" w:cs="方正仿宋_GBK"/>
          <w:color w:val="000000"/>
          <w:kern w:val="0"/>
          <w:szCs w:val="21"/>
          <w:lang w:val="en-US" w:eastAsia="zh-CN"/>
        </w:rPr>
        <w:t>2018.01.05</w:t>
      </w:r>
      <w:r>
        <w:rPr>
          <w:rFonts w:hint="eastAsia" w:ascii="仿宋_GB2312" w:hAnsi="宋体" w:eastAsia="仿宋_GB2312" w:cs="方正仿宋_GBK"/>
          <w:color w:val="000000"/>
          <w:kern w:val="0"/>
          <w:szCs w:val="21"/>
        </w:rPr>
        <w:t>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altName w:val="Arial Unicode MS"/>
    <w:panose1 w:val="00000000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仿宋_GBK">
    <w:altName w:val="方正兰亭超细黑简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8987"/>
    <w:multiLevelType w:val="singleLevel"/>
    <w:tmpl w:val="634189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C7E7C"/>
    <w:rsid w:val="09935017"/>
    <w:rsid w:val="0C8D6F7D"/>
    <w:rsid w:val="17B410E5"/>
    <w:rsid w:val="22B456C0"/>
    <w:rsid w:val="2F673F1F"/>
    <w:rsid w:val="48DA3661"/>
    <w:rsid w:val="652E0C9C"/>
    <w:rsid w:val="73164293"/>
    <w:rsid w:val="753E6D36"/>
    <w:rsid w:val="7D6872F3"/>
    <w:rsid w:val="7E55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link w:val="6"/>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6">
    <w:name w:val=" Char Char Char"/>
    <w:basedOn w:val="1"/>
    <w:link w:val="5"/>
    <w:qFormat/>
    <w:uiPriority w:val="0"/>
    <w:pPr>
      <w:widowControl/>
      <w:spacing w:after="160" w:afterLines="0" w:line="240" w:lineRule="exact"/>
      <w:jc w:val="left"/>
    </w:pPr>
  </w:style>
  <w:style w:type="character" w:styleId="7">
    <w:name w:val="page number"/>
    <w:basedOn w:val="5"/>
    <w:qFormat/>
    <w:uiPriority w:val="0"/>
  </w:style>
  <w:style w:type="character" w:styleId="8">
    <w:name w:val="FollowedHyperlink"/>
    <w:basedOn w:val="5"/>
    <w:qFormat/>
    <w:uiPriority w:val="0"/>
    <w:rPr>
      <w:color w:val="000000"/>
      <w:u w:val="none"/>
    </w:rPr>
  </w:style>
  <w:style w:type="character" w:styleId="9">
    <w:name w:val="Hyperlink"/>
    <w:basedOn w:val="5"/>
    <w:qFormat/>
    <w:uiPriority w:val="0"/>
    <w:rPr>
      <w:color w:val="000000"/>
      <w:sz w:val="18"/>
      <w:szCs w:val="18"/>
      <w:u w:val="none"/>
    </w:rPr>
  </w:style>
  <w:style w:type="character" w:customStyle="1" w:styleId="11">
    <w:name w:val="apple-style-span"/>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顺理成章</cp:lastModifiedBy>
  <cp:lastPrinted>2018-03-14T01:32:03Z</cp:lastPrinted>
  <dcterms:modified xsi:type="dcterms:W3CDTF">2018-03-14T08:19:34Z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