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line="432" w:lineRule="atLeast"/>
        <w:jc w:val="center"/>
        <w:rPr>
          <w:rFonts w:hint="eastAsia" w:ascii="方正小标宋简体" w:hAnsi="宋体" w:eastAsia="方正小标宋简体"/>
          <w:snapToGrid w:val="0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napToGrid w:val="0"/>
          <w:color w:val="000000"/>
          <w:spacing w:val="-4"/>
          <w:sz w:val="44"/>
          <w:szCs w:val="44"/>
        </w:rPr>
        <w:t>政府信息公开情况统计表</w:t>
      </w:r>
    </w:p>
    <w:bookmarkEnd w:id="0"/>
    <w:p>
      <w:pPr>
        <w:widowControl/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pacing w:val="-4"/>
          <w:sz w:val="28"/>
          <w:szCs w:val="28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8"/>
          <w:szCs w:val="28"/>
        </w:rPr>
        <w:t>（2016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8"/>
          <w:szCs w:val="28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8"/>
          <w:szCs w:val="28"/>
        </w:rPr>
        <w:t>）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pacing w:val="-4"/>
          <w:szCs w:val="21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pacing w:val="-4"/>
          <w:szCs w:val="21"/>
        </w:rPr>
        <w:t>填报单位（盖章）：宁波市海曙区市场监督管理局</w:t>
      </w:r>
    </w:p>
    <w:tbl>
      <w:tblPr>
        <w:tblStyle w:val="3"/>
        <w:tblW w:w="8884" w:type="dxa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930"/>
        <w:gridCol w:w="149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（不同渠道和方式公开相同信息计1条）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392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其中：主动公开规范性文件数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制发规范性文件总数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（二）通过不同渠道和方式公开政府信息的情况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1.政府公报公开政府信息数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2.政府网站公开政府信息数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392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3.政务微博公开政府信息数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4.政务微信公开政府信息数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5.其他方式公开政府信息数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（不同方式回应同一热点或舆情计1次）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（二）通过不同渠道和方式回应解读的情况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1.参加或举办新闻发布会总次数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其中：主要负责同志参加新闻发布会次数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2.政府网站在线访谈次数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其中：主要负责同志参加政府网站在线访谈次数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3.政策解读稿件发布数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4.微博微信回应事件数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5.其他方式回应事件数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（一）收到申请数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1.当面申请数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2.传真申请数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3.网络申请数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4.信函申请数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（二）申请办结数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1.按时办结数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2.延期办结数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（三）申请答复数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1.属于已主动公开范围数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2.同意公开答复数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3.同意部分公开答复数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4.不同意公开答复数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其中：涉及国家秘密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涉及商业秘密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涉及个人隐私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危及国家安全、公共安全、经济安全和社会稳定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不是《条例》所指政府信息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法律法规规定的其他情形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5.不属于本行政机关公开数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6.申请信息不存在数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7.告知作出更改补充数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8.告知通过其他途径办理数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（一）维持具体行政行为或者驳回原告诉讼请求数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（一）政府信息公开工作专门机构数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（二）设置政府信息公开查阅点数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（三）从事政府信息公开工作人员数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1.专职人员数（不包括政府公报及政府网站工作人员数）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2.兼职人员数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0.2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（一）召开政府信息公开工作会议或专题会议数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（二）举办各类培训班数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（三）接受培训人员数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61250"/>
    <w:rsid w:val="15B612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2018-04-13T06:05:00Z</dcterms:created>
  <dc:creator>Administrator</dc:creator>
  <cp:lastModifiedBy>Administrator</cp:lastModifiedBy>
  <dcterms:modified xsi:type="dcterms:W3CDTF">2018-04-13T06:05:51Z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