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仿宋_GB2312"/>
          <w:sz w:val="32"/>
          <w:szCs w:val="32"/>
        </w:rPr>
      </w:pPr>
      <w:r>
        <w:rPr>
          <w:rFonts w:hint="eastAsia" w:ascii="黑体" w:hAnsi="黑体" w:eastAsia="黑体" w:cs="仿宋_GB2312"/>
          <w:sz w:val="32"/>
          <w:szCs w:val="32"/>
        </w:rPr>
        <w:t>附件</w:t>
      </w: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海曙区政府门户网站内容保障实施细则</w:t>
      </w:r>
    </w:p>
    <w:p>
      <w:pPr>
        <w:spacing w:line="360" w:lineRule="auto"/>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曙区政府门户网站（http://www.haishu.gov.cn，以下简称门户网站）是海曙区委、区政府在互联网上发布政务信息和提供网上服务的综合平台，是展示海曙整体形象的窗口，也是联系群众、服务公众的桥梁和纽带。门户网站自今年6月改版运行以来，已成为我区政务公开的重要载体。为保障网站信息发布的权威性、全面性、准确性和及时性，结合我区实际，特制定本实施细则。</w:t>
      </w:r>
    </w:p>
    <w:p>
      <w:pPr>
        <w:spacing w:line="360" w:lineRule="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一、门户网站的信息保障方式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门户网站内容主要采取授权维护、网上抓取、网站链接、信息报送、栏目共建等方式予以保障。</w:t>
      </w:r>
    </w:p>
    <w:p>
      <w:pPr>
        <w:numPr>
          <w:ilvl w:val="0"/>
          <w:numId w:val="1"/>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授权维护。通过门户网站内容管理系统，由各镇（乡）街道、区政府各部门维护各自职责范围内的栏目内容，经审核，直接进行信息发布、修改、删除等操作。</w:t>
      </w:r>
    </w:p>
    <w:p>
      <w:pPr>
        <w:numPr>
          <w:ilvl w:val="0"/>
          <w:numId w:val="1"/>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网上抓取。抓取相关部门子页面或网站公布的信息，发布到门户网站的相应栏目。</w:t>
      </w:r>
    </w:p>
    <w:p>
      <w:pPr>
        <w:numPr>
          <w:ilvl w:val="0"/>
          <w:numId w:val="1"/>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网站链接。包括主页链接和栏目链接，栏目链接是将相关部门子页面或网站的有关栏目与门户网站的相应栏目进行链接。</w:t>
      </w:r>
    </w:p>
    <w:p>
      <w:pPr>
        <w:numPr>
          <w:ilvl w:val="0"/>
          <w:numId w:val="1"/>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信息报送。未开设网站子页面的单位，根据工作需要，将已编辑完的信息报送至区政府办公室，由其代为发布到门户网站。</w:t>
      </w:r>
    </w:p>
    <w:p>
      <w:pPr>
        <w:numPr>
          <w:ilvl w:val="0"/>
          <w:numId w:val="1"/>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栏目共建。对于专题类栏目和内容相对独立的栏目，由门户网站与有关单位合作共建，共同维护。</w:t>
      </w:r>
    </w:p>
    <w:p>
      <w:pPr>
        <w:spacing w:line="360" w:lineRule="auto"/>
        <w:ind w:left="420" w:leftChars="200"/>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二、门户网站内容保障任务分解</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（一）了解海曙</w:t>
      </w:r>
    </w:p>
    <w:tbl>
      <w:tblPr>
        <w:tblStyle w:val="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722"/>
        <w:gridCol w:w="232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8"/>
              </w:rPr>
              <w:t>栏目名称</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栏目说明</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责任部门</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4"/>
              </w:rPr>
              <w:t>海曙概览</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包括海曙概况、历史沿革、地理位置、人口规模、行政区划图、乡镇街道等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区统计局</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有变动时更新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4"/>
              </w:rPr>
              <w:t>宜居海曙</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包括品质城市和幸福生活等方面统计数据</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区统计局</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有变动时更新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p>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实力海曙</w:t>
            </w:r>
          </w:p>
          <w:p>
            <w:pPr>
              <w:widowControl/>
              <w:jc w:val="center"/>
              <w:rPr>
                <w:rFonts w:ascii="仿宋" w:hAnsi="仿宋" w:eastAsia="仿宋" w:cs="宋体"/>
                <w:b/>
                <w:bCs/>
                <w:color w:val="000000"/>
                <w:kern w:val="0"/>
                <w:sz w:val="24"/>
                <w:szCs w:val="24"/>
              </w:rPr>
            </w:pP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包括经济图表、经济数据等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区统计局</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有变动时更新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p>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投资海曙</w:t>
            </w:r>
          </w:p>
          <w:p>
            <w:pPr>
              <w:widowControl/>
              <w:jc w:val="center"/>
              <w:rPr>
                <w:rFonts w:ascii="仿宋" w:hAnsi="仿宋" w:eastAsia="仿宋" w:cs="宋体"/>
                <w:b/>
                <w:bCs/>
                <w:color w:val="000000"/>
                <w:kern w:val="0"/>
                <w:sz w:val="24"/>
                <w:szCs w:val="24"/>
              </w:rPr>
            </w:pP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包括招商指南、招商热线、招商视频等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区经合局</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有变动时更新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4"/>
              </w:rPr>
              <w:t>旅游海曙</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包括景点、农家乐、饮食、酒店、旅行社、民宿、节庆、古道、活动等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区文广新闻出版局（旅游局、体育局）</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有变动时更新</w:t>
            </w:r>
          </w:p>
        </w:tc>
      </w:tr>
    </w:tbl>
    <w:p>
      <w:pPr>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(二）政务动态</w:t>
      </w:r>
    </w:p>
    <w:tbl>
      <w:tblPr>
        <w:tblStyle w:val="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722"/>
        <w:gridCol w:w="232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8"/>
              </w:rPr>
              <w:t>栏目名称</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栏目说明</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责任部门</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8"/>
              </w:rPr>
              <w:t>海曙资讯</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本地动态</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区全媒体中心、</w:t>
            </w:r>
          </w:p>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区政府办公室</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2周内更新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部门、镇（乡）街道动态</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各部门、各镇（乡)街道</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2周内更新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8"/>
              </w:rPr>
              <w:t>媒体聚集</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各类媒体报道</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区全媒体中心</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2周内更新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8"/>
              </w:rPr>
              <w:t>今日头条</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今日头条</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区全媒体中心</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每日更新</w:t>
            </w:r>
          </w:p>
        </w:tc>
      </w:tr>
    </w:tbl>
    <w:p>
      <w:pPr>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（三）政务公开</w:t>
      </w:r>
    </w:p>
    <w:tbl>
      <w:tblPr>
        <w:tblStyle w:val="4"/>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2322"/>
        <w:gridCol w:w="232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8"/>
              </w:rPr>
              <w:t>栏目名称</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栏目说明</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责任部门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4"/>
              </w:rPr>
              <w:t>机构概况</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机构基本信息</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有变动时更新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4"/>
              </w:rPr>
              <w:t>法规公文</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包括法规规章、规范性文件、部门和镇（乡）街道文件等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4"/>
              </w:rPr>
              <w:t>政府决策</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包括发展规划、重点工作、重大项目等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1 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jc w:val="center"/>
              <w:rPr>
                <w:rFonts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工作信息</w:t>
            </w: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通知公告、计划总结</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6个月内更新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工作进展</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2周内更新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税收管理</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海曙区税务局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提案议案</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土地管理</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海曙国土资源分局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招商引资</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区经合局、各镇（乡）街道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农村工作</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区农林水利局、各镇（乡）街道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国资管理</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区财政局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社会治安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海曙公安分局、各镇（乡）街道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棚户区及危旧房改造、住房保障</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区住建局、各镇（乡）街道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征地拆迁</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区征收办、各镇（乡）街道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产品质量</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区市场监管局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扶贫救助</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区民政局、各镇（乡）街道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安全生产、教育卫生</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区安监局、区教育局、区卫生计生局、各镇（乡）街道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食药安全</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区市场监管局、各镇（乡）街道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环境保护</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海曙环保分局、各镇（乡)街道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科技创新</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区科技局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统计分析</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区统计局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按月更新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优抚安置</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区民政局、各镇（乡）街道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其他工作信息</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208"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仿宋" w:hAnsi="仿宋" w:eastAsia="仿宋" w:cs="宋体"/>
                <w:b/>
                <w:bCs/>
                <w:color w:val="000000"/>
                <w:kern w:val="0"/>
                <w:sz w:val="24"/>
                <w:szCs w:val="24"/>
              </w:rPr>
            </w:pPr>
          </w:p>
          <w:p>
            <w:pPr>
              <w:spacing w:line="360" w:lineRule="auto"/>
              <w:rPr>
                <w:rFonts w:ascii="仿宋_GB2312" w:hAnsi="仿宋_GB2312" w:eastAsia="仿宋_GB2312" w:cs="仿宋_GB2312"/>
                <w:sz w:val="32"/>
                <w:szCs w:val="32"/>
              </w:rPr>
            </w:pPr>
            <w:r>
              <w:rPr>
                <w:rFonts w:hint="eastAsia" w:ascii="仿宋" w:hAnsi="仿宋" w:eastAsia="仿宋" w:cs="宋体"/>
                <w:b/>
                <w:bCs/>
                <w:color w:val="000000"/>
                <w:kern w:val="0"/>
                <w:sz w:val="24"/>
                <w:szCs w:val="24"/>
              </w:rPr>
              <w:t xml:space="preserve">   行政执法</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行政许可</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行政监管</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仿宋" w:hAnsi="仿宋" w:eastAsia="仿宋" w:cs="宋体"/>
                <w:b/>
                <w:bCs/>
                <w:color w:val="000000"/>
                <w:kern w:val="0"/>
                <w:sz w:val="24"/>
                <w:szCs w:val="24"/>
              </w:rPr>
            </w:pPr>
          </w:p>
          <w:p>
            <w:pPr>
              <w:spacing w:line="360" w:lineRule="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 xml:space="preserve">   人事信息</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人事任免</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4"/>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公务员考录、公招公选、事业招聘</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区人社局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仿宋" w:hAnsi="仿宋" w:eastAsia="仿宋" w:cs="宋体"/>
                <w:b/>
                <w:bCs/>
                <w:color w:val="000000"/>
                <w:kern w:val="0"/>
                <w:sz w:val="24"/>
                <w:szCs w:val="24"/>
              </w:rPr>
            </w:pPr>
          </w:p>
          <w:p>
            <w:pPr>
              <w:spacing w:line="360" w:lineRule="auto"/>
              <w:rPr>
                <w:rFonts w:hint="eastAsia" w:ascii="仿宋" w:hAnsi="仿宋" w:eastAsia="仿宋" w:cs="宋体"/>
                <w:b/>
                <w:bCs/>
                <w:color w:val="000000"/>
                <w:kern w:val="0"/>
                <w:sz w:val="24"/>
                <w:szCs w:val="24"/>
              </w:rPr>
            </w:pPr>
          </w:p>
          <w:p>
            <w:pPr>
              <w:spacing w:line="360" w:lineRule="auto"/>
              <w:rPr>
                <w:rFonts w:hint="eastAsia" w:ascii="仿宋" w:hAnsi="仿宋" w:eastAsia="仿宋" w:cs="宋体"/>
                <w:b/>
                <w:bCs/>
                <w:color w:val="000000"/>
                <w:kern w:val="0"/>
                <w:sz w:val="24"/>
                <w:szCs w:val="24"/>
              </w:rPr>
            </w:pPr>
          </w:p>
          <w:p>
            <w:pPr>
              <w:spacing w:line="360" w:lineRule="auto"/>
              <w:rPr>
                <w:rFonts w:hint="eastAsia" w:ascii="仿宋" w:hAnsi="仿宋" w:eastAsia="仿宋" w:cs="宋体"/>
                <w:b/>
                <w:bCs/>
                <w:color w:val="000000"/>
                <w:kern w:val="0"/>
                <w:sz w:val="24"/>
                <w:szCs w:val="24"/>
              </w:rPr>
            </w:pPr>
          </w:p>
          <w:p>
            <w:pPr>
              <w:spacing w:line="360" w:lineRule="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 xml:space="preserve">   财政信息</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收费项目</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区住建局、区综合行政执法局、区市场监管局、海曙国土资源分局等</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4"/>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专项经费</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海曙国土资源分局、区住建局等</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4"/>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项目投资、价格收费</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区发改局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4"/>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政府采购</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区审管办、区财政局等</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4"/>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招标公告、中标公告</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区审管办、区住建局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4"/>
              </w:rPr>
            </w:pP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财政预决算、三公经费</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公共服务</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档案服务</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海曙区档案局</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按月更新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政策解读</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政策解读、政策图解、政府工作报告图解</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重大决策公开</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重大决策公开征求意见及意见反馈情况</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5个月内更新</w:t>
            </w:r>
          </w:p>
        </w:tc>
      </w:tr>
    </w:tbl>
    <w:p>
      <w:pPr>
        <w:spacing w:line="360" w:lineRule="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（四）政民互动</w:t>
      </w:r>
    </w:p>
    <w:tbl>
      <w:tblPr>
        <w:tblStyle w:val="4"/>
        <w:tblW w:w="9038"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2322"/>
        <w:gridCol w:w="232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 w:hAnsi="仿宋" w:eastAsia="仿宋" w:cs="宋体"/>
                <w:b/>
                <w:bCs/>
                <w:color w:val="000000"/>
                <w:kern w:val="0"/>
                <w:sz w:val="24"/>
                <w:szCs w:val="28"/>
              </w:rPr>
              <w:t>栏目名称</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栏目说明</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责任部门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 w:hAnsi="仿宋" w:eastAsia="仿宋" w:cs="宋体"/>
                <w:b/>
                <w:bCs/>
                <w:color w:val="000000"/>
                <w:kern w:val="0"/>
                <w:sz w:val="24"/>
                <w:szCs w:val="28"/>
              </w:rPr>
              <w:t xml:space="preserve">   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4"/>
              </w:rPr>
              <w:t>统一政务咨询投诉举报平台</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领导信箱、我要咨询、我要投诉、我要举报等</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区信访局、各部门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4"/>
              </w:rPr>
              <w:t>政务直播间、新媒体</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新媒体</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区全媒体中心、各部门、各镇（乡）街道</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4"/>
              </w:rPr>
              <w:t>意见征集</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征求意见信息</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各部门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8"/>
              </w:rPr>
            </w:pPr>
            <w:r>
              <w:rPr>
                <w:rFonts w:hint="eastAsia" w:ascii="仿宋" w:hAnsi="仿宋" w:eastAsia="仿宋" w:cs="宋体"/>
                <w:b/>
                <w:bCs/>
                <w:color w:val="000000"/>
                <w:kern w:val="0"/>
                <w:sz w:val="24"/>
                <w:szCs w:val="24"/>
              </w:rPr>
              <w:t>网上调查</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网上调查</w:t>
            </w:r>
          </w:p>
        </w:tc>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各部门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szCs w:val="28"/>
              </w:rPr>
            </w:pPr>
            <w:r>
              <w:rPr>
                <w:rFonts w:hint="eastAsia" w:ascii="仿宋" w:hAnsi="仿宋" w:eastAsia="仿宋" w:cs="宋体"/>
                <w:color w:val="000000"/>
                <w:kern w:val="0"/>
                <w:szCs w:val="21"/>
              </w:rPr>
              <w:t>及时更新</w:t>
            </w:r>
          </w:p>
        </w:tc>
      </w:tr>
    </w:tbl>
    <w:p>
      <w:pPr>
        <w:spacing w:line="360" w:lineRule="auto"/>
        <w:rPr>
          <w:rFonts w:hint="eastAsia" w:ascii="黑体" w:hAnsi="黑体" w:eastAsia="黑体" w:cs="黑体"/>
          <w:sz w:val="32"/>
          <w:szCs w:val="32"/>
        </w:rPr>
      </w:pPr>
      <w:r>
        <w:rPr>
          <w:rFonts w:hint="eastAsia" w:ascii="黑体" w:hAnsi="黑体" w:eastAsia="黑体" w:cs="黑体"/>
          <w:sz w:val="32"/>
          <w:szCs w:val="32"/>
        </w:rPr>
        <w:t xml:space="preserve">    三、门户网站内容保障的措施和要求</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领导重视、责任落实。各镇（乡）街道、各部门应高度重视门户网站的建设维护，明确分管领导，指定专人负责相关内容的采集、更新工作。如因机构改革或各单位职责分工调整的，导致网站栏目需要相应调整的，应及时联系区电子政务办，确保网站栏目调整符合实际工作需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信息准确、更新及时。各镇（乡）街道、各部门在门户网站及本单位子页面上发布的信息应当准确、客观、格式规范。对于本单位领导信息、内设科室、联系电话等机构概况发生变化的，应当及时调整后重新发布。对于个别栏目确实无更新内容的，应及时报告区电子政务办，由其撤销相关栏目的开设。</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严格审定、安全保密。各镇（乡）街道、各部门要建立健全本单位信息发布审核制度，防止涉密、敏感信息上网发布，对网上发布信息保密审查把关不严，发生违法违规发布文件、信息等情形的，依法依纪依规进行严肃处理。</w:t>
      </w:r>
    </w:p>
    <w:p>
      <w:pPr>
        <w:spacing w:line="360" w:lineRule="auto"/>
        <w:rPr>
          <w:rFonts w:hint="eastAsia" w:ascii="仿宋_GB2312" w:hAnsi="仿宋_GB2312" w:eastAsia="仿宋_GB2312" w:cs="仿宋_GB2312"/>
          <w:sz w:val="32"/>
          <w:szCs w:val="32"/>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p>
    <w:p>
      <w:pPr>
        <w:spacing w:line="600" w:lineRule="exact"/>
        <w:rPr>
          <w:rFonts w:hint="eastAsia" w:ascii="方正小标宋简体" w:hAnsi="宋体" w:eastAsia="方正小标宋简体" w:cs="方正小标宋简体"/>
          <w:sz w:val="44"/>
          <w:szCs w:val="44"/>
        </w:rPr>
      </w:pPr>
      <w:r>
        <w:rPr>
          <w:rFonts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352425</wp:posOffset>
                </wp:positionV>
                <wp:extent cx="5667375"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667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27.75pt;height:0.05pt;width:446.25pt;z-index:251660288;mso-width-relative:page;mso-height-relative:page;" filled="f" o:preferrelative="t" stroked="t" coordsize="21600,21600" o:gfxdata="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1mRVjVAAAABwEAAA8AAAAAAAAA&#10;AQAgAAAAIgAAAGRycy9kb3ducmV2LnhtbFBLAQIUABQAAAAIAIdO4kDmL5z42wEAAJgDAAAOAAAA&#10;AAAAAAEAIAAAACQBAABkcnMvZTJvRG9jLnhtbFBLBQYAAAAABgAGAFkBAABxBQAAAAA=&#10;">
                <v:path arrowok="t"/>
                <v:fill on="f" focussize="0,0"/>
                <v:stroke miterlimit="2"/>
                <v:imagedata o:title=""/>
                <o:lock v:ext="edit" grouping="f" rotation="f" text="f" aspectratio="f"/>
              </v:line>
            </w:pict>
          </mc:Fallback>
        </mc:AlternateContent>
      </w:r>
    </w:p>
    <w:p>
      <w:pPr>
        <w:spacing w:line="40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抄送：区委各部门，区人大办、区政协办，区法院、区检察院，各群</w:t>
      </w:r>
    </w:p>
    <w:p>
      <w:pPr>
        <w:spacing w:line="400" w:lineRule="exact"/>
        <w:ind w:firstLine="1176" w:firstLineChars="420"/>
        <w:rPr>
          <w:rFonts w:ascii="仿宋_GB2312" w:hAnsi="仿宋_GB2312" w:eastAsia="仿宋_GB2312" w:cs="仿宋_GB2312"/>
          <w:sz w:val="28"/>
          <w:szCs w:val="28"/>
        </w:rPr>
      </w:pPr>
      <w:r>
        <w:rPr>
          <w:rFonts w:hint="eastAsia" w:ascii="仿宋_GB2312" w:hAnsi="仿宋_GB2312" w:eastAsia="仿宋_GB2312" w:cs="仿宋_GB2312"/>
          <w:sz w:val="28"/>
          <w:szCs w:val="28"/>
        </w:rPr>
        <w:t>团组织。</w:t>
      </w:r>
    </w:p>
    <w:p>
      <w:pPr>
        <w:tabs>
          <w:tab w:val="left" w:pos="1575"/>
          <w:tab w:val="left" w:pos="7350"/>
          <w:tab w:val="left" w:pos="7665"/>
        </w:tabs>
        <w:spacing w:line="560" w:lineRule="exact"/>
        <w:ind w:firstLine="140" w:firstLineChars="50"/>
        <w:textAlignment w:val="baseline"/>
      </w:pPr>
      <w:r>
        <w:rPr>
          <w:rFonts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400050</wp:posOffset>
                </wp:positionV>
                <wp:extent cx="566737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67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pt;margin-top:31.5pt;height:0.05pt;width:446.25pt;z-index:251658240;mso-width-relative:page;mso-height-relative:page;" filled="f" o:preferrelative="t" stroked="t" coordsize="21600,21600" o:gfxdata="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NKSZ9YAAAAHAQAADwAAAAAAAAAB&#10;ACAAAAAiAAAAZHJzL2Rvd25yZXYueG1sUEsBAhQAFAAAAAgAh07iQEsyJ7nZAQAAmAMAAA4AAAAA&#10;AAAAAQAgAAAAJQEAAGRycy9lMm9Eb2MueG1sUEsFBgAAAAAGAAYAWQEAAHAFAAAAAA==&#10;">
                <v:path arrowok="t"/>
                <v:fill on="f" focussize="0,0"/>
                <v:stroke miterlimit="2"/>
                <v:imagedata o:title=""/>
                <o:lock v:ext="edit" grouping="f" rotation="f" text="f" aspectratio="f"/>
              </v:line>
            </w:pict>
          </mc:Fallback>
        </mc:AlternateContent>
      </w:r>
      <w:r>
        <w:rPr>
          <w:rFonts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53975</wp:posOffset>
                </wp:positionV>
                <wp:extent cx="5667375"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667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4.25pt;height:0.05pt;width:446.25pt;z-index:251659264;mso-width-relative:page;mso-height-relative:page;" filled="f" o:preferrelative="t" stroked="t" coordsize="21600,21600" o:gfxdata="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4yQ/X0wAAAAUBAAAPAAAAAAAAAAEA&#10;IAAAACIAAABkcnMvZG93bnJldi54bWxQSwECFAAUAAAACACHTuJAQtklcdsBAACYAwAADgAAAAAA&#10;AAABACAAAAAiAQAAZHJzL2Uyb0RvYy54bWxQSwUGAAAAAAYABgBZAQAAbwUAAAAA&#10;">
                <v:path arrowok="t"/>
                <v:fill on="f" focussize="0,0"/>
                <v:stroke miterlimit="2"/>
                <v:imagedata o:title=""/>
                <o:lock v:ext="edit" grouping="f" rotation="f" text="f" aspectratio="f"/>
              </v:line>
            </w:pict>
          </mc:Fallback>
        </mc:AlternateContent>
      </w:r>
      <w:r>
        <w:rPr>
          <w:rFonts w:hint="eastAsia" w:ascii="仿宋_GB2312" w:hAnsi="仿宋_GB2312" w:eastAsia="仿宋_GB2312" w:cs="仿宋_GB2312"/>
          <w:sz w:val="28"/>
          <w:szCs w:val="28"/>
        </w:rPr>
        <w:t xml:space="preserve"> 宁波市海曙区人民政府办公室               2018年9月13日印发</w:t>
      </w:r>
      <w:bookmarkStart w:id="0" w:name="_GoBack"/>
      <w:bookmarkEnd w:id="0"/>
    </w:p>
    <w:sectPr>
      <w:footerReference r:id="rId3" w:type="default"/>
      <w:footerReference r:id="rId4" w:type="even"/>
      <w:pgSz w:w="11906" w:h="16838"/>
      <w:pgMar w:top="2098" w:right="1418" w:bottom="1418" w:left="1588" w:header="851" w:footer="1134"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1 -</w:t>
    </w:r>
    <w:r>
      <w:rPr>
        <w:rFonts w:ascii="宋体" w:hAnsi="宋体"/>
        <w:sz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2 -</w:t>
    </w:r>
    <w:r>
      <w:rPr>
        <w:rFonts w:ascii="宋体" w:hAnsi="宋体"/>
        <w:sz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C56C"/>
    <w:multiLevelType w:val="singleLevel"/>
    <w:tmpl w:val="5B98C56C"/>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E33A9"/>
    <w:rsid w:val="6D535020"/>
    <w:rsid w:val="781E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2018-09-29T01:03:00Z</dcterms:created>
  <dc:creator>Administrator</dc:creator>
  <cp:lastModifiedBy>Administrator</cp:lastModifiedBy>
  <dcterms:modified xsi:type="dcterms:W3CDTF">2018-09-29T01:03:41Z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